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5F" w:rsidRDefault="00401B5F" w:rsidP="00401B5F">
      <w:pPr>
        <w:widowControl w:val="0"/>
        <w:autoSpaceDE w:val="0"/>
        <w:autoSpaceDN w:val="0"/>
        <w:adjustRightInd w:val="0"/>
        <w:spacing w:before="74" w:after="0" w:line="240" w:lineRule="auto"/>
        <w:ind w:left="3848" w:right="919" w:hanging="297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МИНИ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ТЕР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ТВО</w:t>
      </w:r>
      <w:r>
        <w:rPr>
          <w:rFonts w:ascii="Times New Roman" w:hAnsi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ЗОВ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НИЯ</w:t>
      </w:r>
      <w:r>
        <w:rPr>
          <w:rFonts w:ascii="Times New Roman" w:hAnsi="Times New Roman"/>
          <w:b/>
          <w:bCs/>
          <w:spacing w:val="-2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КИ</w:t>
      </w:r>
      <w:r>
        <w:rPr>
          <w:rFonts w:ascii="Times New Roman" w:hAnsi="Times New Roman"/>
          <w:b/>
          <w:bCs/>
          <w:spacing w:val="-11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ССИ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ЙС</w:t>
      </w:r>
      <w:r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pacing w:val="-1"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Й ФЕДЕ</w:t>
      </w:r>
      <w:r>
        <w:rPr>
          <w:rFonts w:ascii="Times New Roman" w:hAnsi="Times New Roman"/>
          <w:b/>
          <w:bCs/>
          <w:spacing w:val="2"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>АЦИИ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322" w:lineRule="exact"/>
        <w:ind w:left="3841" w:right="911" w:hanging="29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ФГ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У ВПО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ьск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рс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й экон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мич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ки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верс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ЖД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Ю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311" w:lineRule="exact"/>
        <w:ind w:right="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ек</w:t>
      </w:r>
      <w:r>
        <w:rPr>
          <w:rFonts w:ascii="Times New Roman" w:hAnsi="Times New Roman"/>
          <w:i/>
          <w:iCs/>
          <w:spacing w:val="-3"/>
          <w:position w:val="-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п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уч</w:t>
      </w:r>
      <w:r>
        <w:rPr>
          <w:rFonts w:ascii="Times New Roman" w:hAnsi="Times New Roman"/>
          <w:i/>
          <w:iCs/>
          <w:spacing w:val="-2"/>
          <w:position w:val="-1"/>
          <w:sz w:val="28"/>
          <w:szCs w:val="28"/>
        </w:rPr>
        <w:t>е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-2"/>
          <w:position w:val="-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й</w:t>
      </w:r>
      <w:r>
        <w:rPr>
          <w:rFonts w:ascii="Times New Roman" w:hAnsi="Times New Roman"/>
          <w:i/>
          <w:i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а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1"/>
          <w:position w:val="-1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i/>
          <w:iCs/>
          <w:position w:val="-1"/>
          <w:sz w:val="28"/>
          <w:szCs w:val="28"/>
        </w:rPr>
        <w:t>е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before="24" w:after="0" w:line="316" w:lineRule="exact"/>
        <w:ind w:left="5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/>
          <w:spacing w:val="1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Рогожин С.А.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24" w:after="0" w:line="316" w:lineRule="exact"/>
        <w:ind w:left="5428"/>
        <w:rPr>
          <w:rFonts w:ascii="Times New Roman" w:hAnsi="Times New Roman"/>
          <w:sz w:val="28"/>
          <w:szCs w:val="28"/>
        </w:rPr>
        <w:sectPr w:rsidR="00401B5F">
          <w:pgSz w:w="11920" w:h="16840"/>
          <w:pgMar w:top="1040" w:right="740" w:bottom="280" w:left="1680" w:header="720" w:footer="720" w:gutter="0"/>
          <w:cols w:space="720"/>
          <w:noEndnote/>
        </w:sectPr>
      </w:pPr>
    </w:p>
    <w:p w:rsidR="00401B5F" w:rsidRDefault="0008458A" w:rsidP="00401B5F">
      <w:pPr>
        <w:widowControl w:val="0"/>
        <w:autoSpaceDE w:val="0"/>
        <w:autoSpaceDN w:val="0"/>
        <w:adjustRightInd w:val="0"/>
        <w:spacing w:before="5" w:after="0" w:line="316" w:lineRule="exact"/>
        <w:jc w:val="right"/>
        <w:rPr>
          <w:rFonts w:ascii="Times New Roman" w:hAnsi="Times New Roman"/>
          <w:sz w:val="28"/>
          <w:szCs w:val="28"/>
        </w:rPr>
      </w:pPr>
      <w:r w:rsidRPr="0008458A">
        <w:rPr>
          <w:noProof/>
        </w:rPr>
        <w:lastRenderedPageBreak/>
        <w:pict>
          <v:group id="Группа 1" o:spid="_x0000_s1026" style="position:absolute;left:0;text-align:left;margin-left:385.8pt;margin-top:14.8pt;width:167.5pt;height:1.55pt;z-index:-251658240;mso-position-horizontal-relative:page" coordorigin="7716,296" coordsize="33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" o:allowincell="f">
            <v:shape id="Freeform 3" o:spid="_x0000_s1027" style="position:absolute;left:10242;top:304;width:816;height:0;visibility:visible;mso-wrap-style:square;v-text-anchor:top" coordsize="8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mE8QA&#10;AADaAAAADwAAAGRycy9kb3ducmV2LnhtbESPQWvCQBSE7wX/w/IK3uqmQq2krhIEpailVAO9PrPP&#10;JJh9G3bXGP313UKhx2FmvmFmi940oiPna8sKnkcJCOLC6ppLBflh9TQF4QOyxsYyKbiRh8V88DDD&#10;VNsrf1G3D6WIEPYpKqhCaFMpfVGRQT+yLXH0TtYZDFG6UmqH1wg3jRwnyUQarDkuVNjSsqLivL8Y&#10;BSdz3E3y7p5tN9l6++I+XP75/arU8LHP3kAE6sN/+K/9rhWM4f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ZhPEAAAA2gAAAA8AAAAAAAAAAAAAAAAAmAIAAGRycy9k&#10;b3ducmV2LnhtbFBLBQYAAAAABAAEAPUAAACJAwAAAAA=&#10;" path="m,l815,e" filled="f" strokeweight=".82pt">
              <v:path arrowok="t" o:connecttype="custom" o:connectlocs="0,0;815,0" o:connectangles="0,0"/>
            </v:shape>
            <v:shape id="Freeform 4" o:spid="_x0000_s1028" style="position:absolute;left:7721;top:321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r68QA&#10;AADaAAAADwAAAGRycy9kb3ducmV2LnhtbESPQWsCMRSE7wX/Q3hCL0Wz1iqyGkVFaaFQcBXPj81z&#10;s7h52Sapbv99Uyj0OMzMN8xi1dlG3MiH2rGC0TADQVw6XXOl4HTcD2YgQkTW2DgmBd8UYLXsPSww&#10;1+7OB7oVsRIJwiFHBSbGNpcylIYshqFriZN3cd5iTNJXUnu8J7ht5HOWTaXFmtOCwZa2hspr8WUV&#10;hMm7f2lO4+3HZpc9vZ6LzdV8HpR67HfrOYhIXfwP/7XftIIx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q+vEAAAA2gAAAA8AAAAAAAAAAAAAAAAAmAIAAGRycy9k&#10;b3ducmV2LnhtbFBLBQYAAAAABAAEAPUAAACJAwAAAAA=&#10;" path="m,l2519,e" filled="f" strokeweight=".19811mm">
              <v:path arrowok="t" o:connecttype="custom" o:connectlocs="0,0;2519,0" o:connectangles="0,0"/>
            </v:shape>
            <w10:wrap anchorx="page"/>
          </v:group>
        </w:pict>
      </w:r>
      <w:r w:rsidR="00401B5F">
        <w:rPr>
          <w:rFonts w:ascii="Times New Roman" w:hAnsi="Times New Roman"/>
          <w:spacing w:val="-1"/>
          <w:position w:val="-1"/>
          <w:sz w:val="28"/>
          <w:szCs w:val="28"/>
        </w:rPr>
        <w:t>«</w:t>
      </w:r>
      <w:r w:rsidR="00401B5F">
        <w:rPr>
          <w:rFonts w:ascii="Times New Roman" w:hAnsi="Times New Roman"/>
          <w:position w:val="-1"/>
          <w:sz w:val="28"/>
          <w:szCs w:val="28"/>
          <w:u w:val="single"/>
        </w:rPr>
        <w:t xml:space="preserve">       </w:t>
      </w:r>
      <w:r w:rsidR="00401B5F">
        <w:rPr>
          <w:rFonts w:ascii="Times New Roman" w:hAnsi="Times New Roman"/>
          <w:spacing w:val="-69"/>
          <w:position w:val="-1"/>
          <w:sz w:val="28"/>
          <w:szCs w:val="28"/>
        </w:rPr>
        <w:t xml:space="preserve"> </w:t>
      </w:r>
      <w:r w:rsidR="00401B5F">
        <w:rPr>
          <w:rFonts w:ascii="Times New Roman" w:hAnsi="Times New Roman"/>
          <w:position w:val="-1"/>
          <w:sz w:val="28"/>
          <w:szCs w:val="28"/>
        </w:rPr>
        <w:t>»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5" w:after="0" w:line="316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pacing w:val="1"/>
          <w:position w:val="-1"/>
          <w:sz w:val="28"/>
          <w:szCs w:val="28"/>
        </w:rPr>
        <w:lastRenderedPageBreak/>
        <w:t>2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013</w:t>
      </w:r>
      <w:r>
        <w:rPr>
          <w:rFonts w:ascii="Times New Roman" w:hAnsi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position w:val="-1"/>
          <w:sz w:val="28"/>
          <w:szCs w:val="28"/>
        </w:rPr>
        <w:t>г.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5" w:after="0" w:line="316" w:lineRule="exact"/>
        <w:rPr>
          <w:rFonts w:ascii="Times New Roman" w:hAnsi="Times New Roman"/>
          <w:sz w:val="28"/>
          <w:szCs w:val="28"/>
        </w:rPr>
        <w:sectPr w:rsidR="00401B5F">
          <w:type w:val="continuous"/>
          <w:pgSz w:w="11920" w:h="16840"/>
          <w:pgMar w:top="1040" w:right="740" w:bottom="280" w:left="1680" w:header="720" w:footer="720" w:gutter="0"/>
          <w:cols w:num="2" w:space="720" w:equalWidth="0">
            <w:col w:w="6043" w:space="2519"/>
            <w:col w:w="938"/>
          </w:cols>
          <w:noEndnote/>
        </w:sect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before="13" w:after="0" w:line="240" w:lineRule="auto"/>
        <w:ind w:left="3119" w:right="3564" w:hanging="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Методы принятия управленческих решений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40" w:lineRule="auto"/>
        <w:ind w:left="2674" w:right="27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Методические указания по выполнению контрольной работы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40" w:lineRule="auto"/>
        <w:ind w:left="3750" w:right="38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9" w:after="0" w:line="240" w:lineRule="auto"/>
        <w:ind w:left="3058" w:right="3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80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0 у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вление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40" w:lineRule="auto"/>
        <w:ind w:left="3740" w:right="38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7" w:after="0" w:line="240" w:lineRule="auto"/>
        <w:ind w:left="2358" w:right="2446"/>
        <w:jc w:val="center"/>
        <w:rPr>
          <w:rFonts w:ascii="Times New Roman" w:hAnsi="Times New Roman"/>
          <w:sz w:val="28"/>
          <w:szCs w:val="28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40" w:lineRule="auto"/>
        <w:ind w:left="3518" w:right="361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</w:t>
      </w:r>
      <w:r>
        <w:rPr>
          <w:rFonts w:ascii="Times New Roman" w:hAnsi="Times New Roman"/>
          <w:spacing w:val="1"/>
          <w:sz w:val="32"/>
          <w:szCs w:val="32"/>
        </w:rPr>
        <w:t>ор</w:t>
      </w:r>
      <w:r>
        <w:rPr>
          <w:rFonts w:ascii="Times New Roman" w:hAnsi="Times New Roman"/>
          <w:sz w:val="32"/>
          <w:szCs w:val="32"/>
        </w:rPr>
        <w:t>ма</w:t>
      </w:r>
      <w:r>
        <w:rPr>
          <w:rFonts w:ascii="Times New Roman" w:hAnsi="Times New Roman"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w w:val="99"/>
          <w:sz w:val="32"/>
          <w:szCs w:val="32"/>
        </w:rPr>
        <w:t>о</w:t>
      </w:r>
      <w:r>
        <w:rPr>
          <w:rFonts w:ascii="Times New Roman" w:hAnsi="Times New Roman"/>
          <w:w w:val="99"/>
          <w:sz w:val="32"/>
          <w:szCs w:val="32"/>
        </w:rPr>
        <w:t>буче</w:t>
      </w:r>
      <w:r>
        <w:rPr>
          <w:rFonts w:ascii="Times New Roman" w:hAnsi="Times New Roman"/>
          <w:spacing w:val="1"/>
          <w:w w:val="99"/>
          <w:sz w:val="32"/>
          <w:szCs w:val="32"/>
        </w:rPr>
        <w:t>н</w:t>
      </w:r>
      <w:r>
        <w:rPr>
          <w:rFonts w:ascii="Times New Roman" w:hAnsi="Times New Roman"/>
          <w:w w:val="99"/>
          <w:sz w:val="32"/>
          <w:szCs w:val="32"/>
        </w:rPr>
        <w:t>ия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before="10" w:after="0" w:line="240" w:lineRule="auto"/>
        <w:ind w:left="3735" w:right="38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за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240" w:lineRule="auto"/>
        <w:ind w:left="3831" w:right="39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кате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322" w:lineRule="exact"/>
        <w:ind w:left="4378" w:right="44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013</w:t>
      </w:r>
    </w:p>
    <w:p w:rsidR="00401B5F" w:rsidRDefault="00401B5F" w:rsidP="00401B5F">
      <w:pPr>
        <w:widowControl w:val="0"/>
        <w:autoSpaceDE w:val="0"/>
        <w:autoSpaceDN w:val="0"/>
        <w:adjustRightInd w:val="0"/>
        <w:spacing w:after="0" w:line="322" w:lineRule="exact"/>
        <w:ind w:left="4378" w:right="4466"/>
        <w:jc w:val="center"/>
        <w:rPr>
          <w:rFonts w:ascii="Times New Roman" w:hAnsi="Times New Roman"/>
          <w:sz w:val="28"/>
          <w:szCs w:val="28"/>
        </w:rPr>
        <w:sectPr w:rsidR="00401B5F" w:rsidSect="00D03572">
          <w:type w:val="continuous"/>
          <w:pgSz w:w="11920" w:h="16840"/>
          <w:pgMar w:top="1040" w:right="740" w:bottom="280" w:left="1134" w:header="720" w:footer="720" w:gutter="0"/>
          <w:cols w:space="720" w:equalWidth="0">
            <w:col w:w="10046"/>
          </w:cols>
          <w:noEndnote/>
        </w:sectPr>
      </w:pPr>
    </w:p>
    <w:p w:rsidR="00FA4DA9" w:rsidRDefault="001A5970" w:rsidP="001A5970">
      <w:pPr>
        <w:jc w:val="both"/>
        <w:rPr>
          <w:rFonts w:ascii="Times New Roman" w:hAnsi="Times New Roman"/>
          <w:sz w:val="28"/>
          <w:szCs w:val="28"/>
        </w:rPr>
      </w:pPr>
      <w:r w:rsidRPr="001A5970">
        <w:rPr>
          <w:rFonts w:ascii="Times New Roman" w:hAnsi="Times New Roman"/>
          <w:sz w:val="28"/>
          <w:szCs w:val="28"/>
        </w:rPr>
        <w:lastRenderedPageBreak/>
        <w:t>Составить план мероприятий по повышению доходной части бюджета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1A5970">
        <w:rPr>
          <w:rFonts w:ascii="Times New Roman" w:hAnsi="Times New Roman"/>
          <w:sz w:val="28"/>
          <w:szCs w:val="28"/>
        </w:rPr>
        <w:t xml:space="preserve"> в котором </w:t>
      </w:r>
      <w:r>
        <w:rPr>
          <w:rFonts w:ascii="Times New Roman" w:hAnsi="Times New Roman"/>
          <w:sz w:val="28"/>
          <w:szCs w:val="28"/>
        </w:rPr>
        <w:t>фактически про</w:t>
      </w:r>
      <w:r w:rsidRPr="001A5970">
        <w:rPr>
          <w:rFonts w:ascii="Times New Roman" w:hAnsi="Times New Roman"/>
          <w:sz w:val="28"/>
          <w:szCs w:val="28"/>
        </w:rPr>
        <w:t>жив</w:t>
      </w:r>
      <w:r>
        <w:rPr>
          <w:rFonts w:ascii="Times New Roman" w:hAnsi="Times New Roman"/>
          <w:sz w:val="28"/>
          <w:szCs w:val="28"/>
        </w:rPr>
        <w:t>а</w:t>
      </w:r>
      <w:r w:rsidRPr="001A5970">
        <w:rPr>
          <w:rFonts w:ascii="Times New Roman" w:hAnsi="Times New Roman"/>
          <w:sz w:val="28"/>
          <w:szCs w:val="28"/>
        </w:rPr>
        <w:t>ет студент. Цель – увеличение доходов бюджета  на 10 % за 2 года</w:t>
      </w:r>
      <w:r>
        <w:rPr>
          <w:rFonts w:ascii="Times New Roman" w:hAnsi="Times New Roman"/>
          <w:sz w:val="28"/>
          <w:szCs w:val="28"/>
        </w:rPr>
        <w:t>.</w:t>
      </w:r>
      <w:r w:rsidRPr="001A5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представить в следующей таблице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A5970" w:rsidRP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5"/>
        <w:gridCol w:w="1914"/>
        <w:gridCol w:w="1914"/>
        <w:gridCol w:w="2119"/>
        <w:gridCol w:w="1915"/>
      </w:tblGrid>
      <w:tr w:rsidR="001A5970" w:rsidTr="001A5970">
        <w:tc>
          <w:tcPr>
            <w:tcW w:w="1914" w:type="dxa"/>
          </w:tcPr>
          <w:p w:rsidR="001A5970" w:rsidRP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1A5970" w:rsidRP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914" w:type="dxa"/>
          </w:tcPr>
          <w:p w:rsidR="001A5970" w:rsidRP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Необходимые ресурсы</w:t>
            </w:r>
          </w:p>
        </w:tc>
        <w:tc>
          <w:tcPr>
            <w:tcW w:w="1914" w:type="dxa"/>
          </w:tcPr>
          <w:p w:rsidR="001A5970" w:rsidRP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Эффект</w:t>
            </w:r>
          </w:p>
        </w:tc>
        <w:tc>
          <w:tcPr>
            <w:tcW w:w="1915" w:type="dxa"/>
          </w:tcPr>
          <w:p w:rsidR="001A5970" w:rsidRP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риски</w:t>
            </w:r>
          </w:p>
        </w:tc>
      </w:tr>
      <w:tr w:rsidR="001A5970" w:rsidTr="001A5970"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Мероприятие1</w:t>
            </w: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970" w:rsidTr="001A5970"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Мероприятие2</w:t>
            </w: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970" w:rsidTr="001A5970"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970" w:rsidTr="001A5970"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A5970" w:rsidRDefault="001A5970" w:rsidP="001A59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66307" w:rsidP="001A59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мероприятий должно быть не менее 7. </w:t>
      </w:r>
      <w:r w:rsidR="001A5970">
        <w:rPr>
          <w:rFonts w:ascii="Times New Roman" w:hAnsi="Times New Roman"/>
          <w:sz w:val="28"/>
          <w:szCs w:val="28"/>
        </w:rPr>
        <w:t xml:space="preserve">Представить краткое обоснование мероприятий с </w:t>
      </w:r>
      <w:r>
        <w:rPr>
          <w:rFonts w:ascii="Times New Roman" w:hAnsi="Times New Roman"/>
          <w:sz w:val="28"/>
          <w:szCs w:val="28"/>
        </w:rPr>
        <w:t>экономической и социальной точек зрения.</w:t>
      </w: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Pr="00166307" w:rsidRDefault="001A5970" w:rsidP="00166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</w:t>
      </w:r>
      <w:r w:rsidRPr="00166307">
        <w:rPr>
          <w:rFonts w:ascii="Times New Roman" w:hAnsi="Times New Roman"/>
          <w:sz w:val="24"/>
          <w:szCs w:val="24"/>
        </w:rPr>
        <w:t xml:space="preserve">              Список литературы</w:t>
      </w:r>
    </w:p>
    <w:p w:rsidR="00166307" w:rsidRPr="00166307" w:rsidRDefault="00166307" w:rsidP="00166307">
      <w:pPr>
        <w:rPr>
          <w:rFonts w:ascii="Times New Roman" w:hAnsi="Times New Roman"/>
          <w:sz w:val="24"/>
          <w:szCs w:val="24"/>
        </w:rPr>
      </w:pPr>
    </w:p>
    <w:p w:rsidR="00166307" w:rsidRPr="00166307" w:rsidRDefault="00166307" w:rsidP="00166307">
      <w:pPr>
        <w:rPr>
          <w:rFonts w:ascii="Times New Roman" w:hAnsi="Times New Roman"/>
          <w:sz w:val="24"/>
          <w:szCs w:val="24"/>
        </w:rPr>
      </w:pP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 Балабанов И.Т. Риск-менеджмент. - М.: Финансы и статистика, 1996. - 192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 Орлов А.И. Устойчивость в социально-экономических моделях. - М.: Наука, 1979. - 296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3. 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Дюбин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Г.Н., Суздаль В.Г. Введение в прикладную теорию игр. - М.: Наука, 1981. - 336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 Вильямс Дж.Д. Совершенный стратег, или Букварь по теории стратегических игр. М.: Советское Радио, 1960. - 269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 Орлов А.И. Современная прикладная статистика. - Ж-л "Заводская лаборатория". 1998. Т. 64. № 3. С.52-60.</w:t>
      </w:r>
      <w:bookmarkStart w:id="0" w:name="_GoBack"/>
      <w:bookmarkEnd w:id="0"/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 Орлов А.И. Сертификация и статистические методы. - Ж-л "Заводская лаборатория". 1997. Т. 63. № 3. С.55-62.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7. 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Пиндайк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Р., 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Рубинфельд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Д. Микроэкономика. - М.: Экономика-Дело, 1992. - 510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8. 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Фишберн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Теория полезности для принятия решений. - М;: Наука, 1978. - 352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 Орлов А.И. Экспертные оценки. - Ж-л "Заводская лаборатория". 1996. Т. 62. №1. С.54-60.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 Панкова Л.А., Петровский А.М., 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Шнейдерман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М.В. Организация экспертиз и анализ экспертной информации. - 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М.:Наука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1984. - 120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Подиновский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В.В., Ногин В.Д. Парето-оптимальные решения многокритериальных задач. - М.: Наука, 1982. - 254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12. Садовский В.Н. Основания общей теории систем. - М.: Наука, 1974.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13. Моисеев Н.Н. Математические задачи системного анализа. - 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М.:Наука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1981.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14. 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Науман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Э. Принять решение, но как? - М.: Мир, 1987. - 198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15. 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Карминский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А.М., Оленев Н.И., Примак А.Г., 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Фалько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С.Г. 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Контроллинг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бизнесе. Методологические и практические основы построения 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контроллинга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организациях. - М.: Финансы и статистика, 1998. - 256 с.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16. Чернов В.А. Анализ коммерческого риска. - М.: Финансы и статистика, 1996. - 128 с. 17. 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Фатхутдинов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Р.А. Разработка управленческого решения. Учебное пособие. - М.: 1997.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18. Бурков В.Н., Новиков Д.А. Как управлять проектами. - М.: СИНТЕГ-ГЕО, 1997. - 188 с.</w:t>
      </w:r>
      <w:r w:rsidRPr="0016630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19. </w:t>
      </w:r>
      <w:proofErr w:type="spellStart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Гуджоян</w:t>
      </w:r>
      <w:proofErr w:type="spellEnd"/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О.Л. и др. Методы принятия управленческих решений. Учебное пособие. - М.: 1997.</w:t>
      </w:r>
      <w:r w:rsidRPr="00166307">
        <w:rPr>
          <w:rFonts w:ascii="Times New Roman" w:hAnsi="Times New Roman"/>
          <w:color w:val="000000"/>
          <w:sz w:val="24"/>
          <w:szCs w:val="24"/>
        </w:rPr>
        <w:br/>
      </w:r>
      <w:r w:rsidRPr="001663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20. Литвак Б.Г. Управленческие решения. Учебник. - М.: 1998.</w:t>
      </w: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p w:rsidR="001A5970" w:rsidRPr="001A5970" w:rsidRDefault="001A5970" w:rsidP="001A5970">
      <w:pPr>
        <w:jc w:val="both"/>
        <w:rPr>
          <w:rFonts w:ascii="Times New Roman" w:hAnsi="Times New Roman"/>
          <w:sz w:val="28"/>
          <w:szCs w:val="28"/>
        </w:rPr>
      </w:pPr>
    </w:p>
    <w:sectPr w:rsidR="001A5970" w:rsidRPr="001A5970" w:rsidSect="001663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01B5F"/>
    <w:rsid w:val="0008458A"/>
    <w:rsid w:val="00166307"/>
    <w:rsid w:val="001A5970"/>
    <w:rsid w:val="00401B5F"/>
    <w:rsid w:val="00FA4DA9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</cp:revision>
  <dcterms:created xsi:type="dcterms:W3CDTF">2013-11-15T05:19:00Z</dcterms:created>
  <dcterms:modified xsi:type="dcterms:W3CDTF">2013-11-15T05:19:00Z</dcterms:modified>
</cp:coreProperties>
</file>