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EB" w:rsidRPr="000F59D6" w:rsidRDefault="00B40EEB" w:rsidP="00B40EEB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Toc261902910"/>
      <w:bookmarkStart w:id="1" w:name="_Toc261902960"/>
      <w:bookmarkStart w:id="2" w:name="_Toc399460560"/>
      <w:r w:rsidRPr="000F59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1</w:t>
      </w:r>
      <w:bookmarkEnd w:id="0"/>
      <w:bookmarkEnd w:id="1"/>
      <w:bookmarkEnd w:id="2"/>
    </w:p>
    <w:p w:rsidR="00B40EEB" w:rsidRPr="00B40EEB" w:rsidRDefault="00B40EEB" w:rsidP="00B40EE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40EEB" w:rsidRPr="00B40EEB" w:rsidRDefault="00B40EEB" w:rsidP="00B40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таблицы рассчитайте:</w:t>
      </w:r>
    </w:p>
    <w:p w:rsidR="00B40EEB" w:rsidRPr="00B40EEB" w:rsidRDefault="00B40EEB" w:rsidP="00B40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объем ВНП по потоку доходов;</w:t>
      </w:r>
    </w:p>
    <w:p w:rsidR="00B40EEB" w:rsidRPr="00B40EEB" w:rsidRDefault="00B40EEB" w:rsidP="00B40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объем ВНП по потоку расходов</w:t>
      </w:r>
    </w:p>
    <w:p w:rsidR="00B40EEB" w:rsidRPr="00B40EEB" w:rsidRDefault="00B40EEB" w:rsidP="00B40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объем ЧНП</w:t>
      </w:r>
    </w:p>
    <w:p w:rsidR="00B40EEB" w:rsidRPr="00B40EEB" w:rsidRDefault="00B40EEB" w:rsidP="00B40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объем национального дохода и графически покажите его динамику</w:t>
      </w:r>
    </w:p>
    <w:p w:rsidR="00B40EEB" w:rsidRPr="00B40EEB" w:rsidRDefault="00B40EEB" w:rsidP="00B40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9"/>
        <w:gridCol w:w="993"/>
        <w:gridCol w:w="856"/>
        <w:gridCol w:w="993"/>
        <w:gridCol w:w="861"/>
        <w:gridCol w:w="829"/>
      </w:tblGrid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1.Процент за кредит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2.Валовые чистые инвестиции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3.Зарплата и жалованье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Прибыль корпораций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Косвенные налоги, неналоговые и трансфертные платежи, выплачиваемые частным предпринимателям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Рентные платежи владельцам арендуемого имущества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Налоги и прибыль корпораций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Чистый экспорт товаров и услуг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Государственные закупки товаров и услуг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Чистые частные инвестиции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Доходы от собственности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Чистые субсидии государственным предприятиям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Трансфертные платежи населению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Потребительские расходы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B40EEB" w:rsidRPr="00B40EEB" w:rsidTr="002E6293">
        <w:tc>
          <w:tcPr>
            <w:tcW w:w="2631" w:type="pct"/>
          </w:tcPr>
          <w:p w:rsidR="00B40EEB" w:rsidRPr="00B40EEB" w:rsidRDefault="00B40EEB" w:rsidP="00B40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Отчисления на потребление капитала (амортизация)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3" w:type="pct"/>
          </w:tcPr>
          <w:p w:rsidR="00B40EEB" w:rsidRPr="00B40EEB" w:rsidRDefault="00B40EEB" w:rsidP="00B4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B40EEB" w:rsidRPr="00B40EEB" w:rsidRDefault="00B40EEB" w:rsidP="00B40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EB" w:rsidRPr="00B40EEB" w:rsidRDefault="002E6293" w:rsidP="00B40E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0262E" w:rsidRDefault="00E0262E" w:rsidP="002E6293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</w:rPr>
      </w:pPr>
      <w:bookmarkStart w:id="3" w:name="_Toc399460565"/>
    </w:p>
    <w:p w:rsidR="00FE5429" w:rsidRPr="000F59D6" w:rsidRDefault="002E6293" w:rsidP="002E6293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</w:rPr>
      </w:pPr>
      <w:r w:rsidRPr="000F59D6">
        <w:rPr>
          <w:rFonts w:ascii="Times New Roman" w:hAnsi="Times New Roman" w:cs="Times New Roman"/>
          <w:b/>
          <w:color w:val="FF0000"/>
          <w:sz w:val="28"/>
        </w:rPr>
        <w:t>Задание</w:t>
      </w:r>
      <w:bookmarkEnd w:id="3"/>
      <w:r w:rsidR="000F59D6">
        <w:rPr>
          <w:rFonts w:ascii="Times New Roman" w:hAnsi="Times New Roman" w:cs="Times New Roman"/>
          <w:b/>
          <w:color w:val="FF0000"/>
          <w:sz w:val="28"/>
        </w:rPr>
        <w:t>2</w:t>
      </w:r>
    </w:p>
    <w:p w:rsidR="002E6293" w:rsidRPr="002E6293" w:rsidRDefault="002E6293" w:rsidP="002E6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293">
        <w:rPr>
          <w:rFonts w:ascii="Times New Roman" w:eastAsia="Calibri" w:hAnsi="Times New Roman" w:cs="Times New Roman"/>
          <w:sz w:val="28"/>
          <w:szCs w:val="28"/>
        </w:rPr>
        <w:t>По результатам производственно-хозяйственной деятельности нефтяной отрасли определить производственные издержки, полные издержки, чистую прибыль нефтяных компаний (НК), собственные средства НК, свободные средства НК, нераспределенную прибыль, цену производства, ренту.</w:t>
      </w:r>
    </w:p>
    <w:p w:rsidR="002E6293" w:rsidRPr="002E6293" w:rsidRDefault="002E6293" w:rsidP="002E629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62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– Производственно-финансовые показатели и рента в нефтяной промышленности </w:t>
      </w:r>
    </w:p>
    <w:tbl>
      <w:tblPr>
        <w:tblW w:w="9571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608"/>
        <w:gridCol w:w="1260"/>
        <w:gridCol w:w="1260"/>
        <w:gridCol w:w="1189"/>
        <w:gridCol w:w="1254"/>
      </w:tblGrid>
      <w:tr w:rsidR="002E6293" w:rsidRPr="002E6293" w:rsidTr="002E6293">
        <w:trPr>
          <w:jc w:val="center"/>
        </w:trPr>
        <w:tc>
          <w:tcPr>
            <w:tcW w:w="4608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 xml:space="preserve">Показатели </w:t>
            </w:r>
          </w:p>
        </w:tc>
        <w:tc>
          <w:tcPr>
            <w:tcW w:w="1260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млрд. долл.</w:t>
            </w:r>
          </w:p>
        </w:tc>
        <w:tc>
          <w:tcPr>
            <w:tcW w:w="1260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долл./т</w:t>
            </w:r>
          </w:p>
        </w:tc>
        <w:tc>
          <w:tcPr>
            <w:tcW w:w="1189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долл./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барр.</w:t>
            </w:r>
          </w:p>
        </w:tc>
        <w:tc>
          <w:tcPr>
            <w:tcW w:w="1254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% от выручки</w:t>
            </w:r>
          </w:p>
        </w:tc>
      </w:tr>
      <w:tr w:rsidR="002E6293" w:rsidRPr="002E6293" w:rsidTr="002E6293">
        <w:trPr>
          <w:jc w:val="center"/>
        </w:trPr>
        <w:tc>
          <w:tcPr>
            <w:tcW w:w="4608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Издержки добычи нефти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 xml:space="preserve">в т.ч. эксплуатационные </w:t>
            </w:r>
          </w:p>
          <w:p w:rsidR="002E6293" w:rsidRPr="002E6293" w:rsidRDefault="002E6293" w:rsidP="002E6293">
            <w:pPr>
              <w:spacing w:after="0" w:line="276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амортизация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Издержки переработки нефти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в т.ч. эксплуатационные</w:t>
            </w:r>
          </w:p>
          <w:p w:rsidR="002E6293" w:rsidRPr="002E6293" w:rsidRDefault="002E6293" w:rsidP="002E6293">
            <w:pPr>
              <w:spacing w:after="0" w:line="276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амортизация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 xml:space="preserve">Транспортные расходы 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в т.ч. поставки нефти на НПЗ</w:t>
            </w:r>
          </w:p>
          <w:p w:rsidR="002E6293" w:rsidRPr="002E6293" w:rsidRDefault="002E6293" w:rsidP="002E6293">
            <w:pPr>
              <w:spacing w:after="0" w:line="276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экспорт нефти</w:t>
            </w:r>
          </w:p>
          <w:p w:rsidR="002E6293" w:rsidRPr="002E6293" w:rsidRDefault="002E6293" w:rsidP="002E6293">
            <w:pPr>
              <w:spacing w:after="0" w:line="276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экспорт нефтепродуктов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 xml:space="preserve">Коммерческие и административные расходы 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 xml:space="preserve">Выручка </w:t>
            </w:r>
          </w:p>
          <w:p w:rsidR="002E6293" w:rsidRPr="002E6293" w:rsidRDefault="002E6293" w:rsidP="002E62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от экспорта сырой нефти</w:t>
            </w:r>
          </w:p>
          <w:p w:rsidR="002E6293" w:rsidRPr="002E6293" w:rsidRDefault="002E6293" w:rsidP="002E62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от экспорта нефтепродуктов</w:t>
            </w:r>
          </w:p>
          <w:p w:rsidR="002E6293" w:rsidRPr="002E6293" w:rsidRDefault="002E6293" w:rsidP="002E6293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от реализации нефтепродуктов на внутреннем рынке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Налоги, всего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НДПИ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 xml:space="preserve">Таможенные пошлины и сборы 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Акцизы на нефтепродукты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Налог на прибыль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НДС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Прочие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Инвестиции в основной и оборотный капитал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Дивиденды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 xml:space="preserve"> Нормативная прибыль (12% на авансированный капитал)</w:t>
            </w:r>
          </w:p>
          <w:p w:rsidR="002E6293" w:rsidRPr="002E6293" w:rsidRDefault="002E6293" w:rsidP="002E629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Стоимость основных фондов (добыча, переработка)</w:t>
            </w:r>
          </w:p>
        </w:tc>
        <w:tc>
          <w:tcPr>
            <w:tcW w:w="1260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12,6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2,7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0,4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12,3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6,9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80,1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46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14,5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19,6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27,8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9,5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8,4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0,9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11,7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5,6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15,2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55</w:t>
            </w:r>
          </w:p>
        </w:tc>
        <w:tc>
          <w:tcPr>
            <w:tcW w:w="1260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29,9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26,1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3,8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14,2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12,1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29,2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7,9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29,9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50,6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190,3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199,1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188,3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254,5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66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22,6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20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9,5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9,3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27,8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13,3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36,1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130,6</w:t>
            </w:r>
          </w:p>
        </w:tc>
        <w:tc>
          <w:tcPr>
            <w:tcW w:w="1189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4,1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0,5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1,7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0,3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4,1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6,9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0,4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26,1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27,3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25,8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34,9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2,7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0,3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1,3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0,4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3,8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1,8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4,9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17,9</w:t>
            </w:r>
          </w:p>
        </w:tc>
        <w:tc>
          <w:tcPr>
            <w:tcW w:w="1254" w:type="dxa"/>
            <w:vAlign w:val="center"/>
          </w:tcPr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15,7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13,7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2,0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3,4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0,5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15,4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8,6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4,9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100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57,4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18,1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24,5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34,7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11,9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10,5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1,1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5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4,9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1,4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14,6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7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19</w:t>
            </w: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E6293" w:rsidRPr="002E6293" w:rsidRDefault="002E6293" w:rsidP="002E629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E6293">
              <w:rPr>
                <w:rFonts w:ascii="Times New Roman" w:eastAsia="Calibri" w:hAnsi="Times New Roman" w:cs="Times New Roman"/>
                <w:sz w:val="28"/>
              </w:rPr>
              <w:t>68,7</w:t>
            </w:r>
          </w:p>
        </w:tc>
      </w:tr>
    </w:tbl>
    <w:p w:rsidR="002E6293" w:rsidRPr="002E6293" w:rsidRDefault="002E6293" w:rsidP="002E6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293" w:rsidRPr="002E6293" w:rsidRDefault="002E6293" w:rsidP="002E62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293">
        <w:rPr>
          <w:rFonts w:ascii="Times New Roman" w:eastAsia="Calibri" w:hAnsi="Times New Roman" w:cs="Times New Roman"/>
          <w:sz w:val="28"/>
          <w:szCs w:val="28"/>
        </w:rPr>
        <w:t>Добыча нефти в России составила 421 млн.тонн, переработка 190 млн.т, экспорт нефти 231 млн.т, экспорт нефтепродуктов – 77 млн.т.</w:t>
      </w:r>
    </w:p>
    <w:p w:rsidR="00453C8C" w:rsidRPr="002E6293" w:rsidRDefault="002E6293" w:rsidP="00E0262E">
      <w:pPr>
        <w:ind w:firstLine="708"/>
        <w:rPr>
          <w:rFonts w:ascii="Times New Roman" w:hAnsi="Times New Roman" w:cs="Times New Roman"/>
          <w:sz w:val="28"/>
        </w:rPr>
      </w:pPr>
      <w:r w:rsidRPr="002E6293">
        <w:rPr>
          <w:rFonts w:ascii="Times New Roman" w:hAnsi="Times New Roman" w:cs="Times New Roman"/>
          <w:sz w:val="28"/>
        </w:rPr>
        <w:lastRenderedPageBreak/>
        <w:t>Решение</w:t>
      </w:r>
    </w:p>
    <w:p w:rsidR="00E0262E" w:rsidRDefault="00E0262E" w:rsidP="00E0262E">
      <w:pPr>
        <w:pStyle w:val="1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4" w:name="_Toc399460566"/>
    </w:p>
    <w:p w:rsidR="003C7161" w:rsidRPr="000F59D6" w:rsidRDefault="002E6293" w:rsidP="00E0262E">
      <w:pPr>
        <w:pStyle w:val="1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F59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</w:t>
      </w:r>
      <w:bookmarkEnd w:id="4"/>
      <w:r w:rsidR="000F59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</w:p>
    <w:p w:rsidR="003C7161" w:rsidRPr="003C7161" w:rsidRDefault="003C7161" w:rsidP="003C7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эффективности поисково-разведочного бурения при условии, что стоимость 1 литра нефтяного эквивалента (т. н. э) - 2500 руб., средняя глубина скважин 2500 м, прирост запасов на 1 скважину 25тыс. тонн. Рассчитать минимальный прирост запасов, ниже которого экономически нецелесообразно вести поиск.</w:t>
      </w:r>
    </w:p>
    <w:p w:rsidR="003C7161" w:rsidRPr="002E6293" w:rsidRDefault="002E6293" w:rsidP="00E0262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E6293" w:rsidRDefault="002E6293" w:rsidP="003C71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40" w:rsidRDefault="008A3B40" w:rsidP="00453C8C"/>
    <w:p w:rsidR="008A3B40" w:rsidRPr="000F59D6" w:rsidRDefault="000B3F08" w:rsidP="00E0262E">
      <w:pPr>
        <w:pStyle w:val="1"/>
        <w:spacing w:line="360" w:lineRule="auto"/>
        <w:ind w:firstLine="708"/>
        <w:rPr>
          <w:rFonts w:ascii="Times New Roman" w:hAnsi="Times New Roman" w:cs="Times New Roman"/>
          <w:b/>
          <w:color w:val="FF0000"/>
          <w:sz w:val="28"/>
        </w:rPr>
      </w:pPr>
      <w:bookmarkStart w:id="5" w:name="_Toc399460568"/>
      <w:r w:rsidRPr="000F59D6">
        <w:rPr>
          <w:rFonts w:ascii="Times New Roman" w:hAnsi="Times New Roman" w:cs="Times New Roman"/>
          <w:b/>
          <w:color w:val="FF0000"/>
          <w:sz w:val="28"/>
        </w:rPr>
        <w:t>Задание 4</w:t>
      </w:r>
      <w:bookmarkEnd w:id="5"/>
    </w:p>
    <w:p w:rsidR="000B3F08" w:rsidRPr="000B3F08" w:rsidRDefault="000B3F08" w:rsidP="000B3F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F08">
        <w:rPr>
          <w:rFonts w:ascii="Times New Roman" w:eastAsia="Calibri" w:hAnsi="Times New Roman" w:cs="Times New Roman"/>
          <w:sz w:val="28"/>
          <w:szCs w:val="28"/>
        </w:rPr>
        <w:t xml:space="preserve">Определить целесообразность замены нефтепромыслового оборудования до окончания срока его эксплуатации на момент </w:t>
      </w:r>
      <w:r w:rsidRPr="000B3F08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0B3F08">
        <w:rPr>
          <w:rFonts w:ascii="Times New Roman" w:eastAsia="Calibri" w:hAnsi="Times New Roman" w:cs="Times New Roman"/>
          <w:sz w:val="28"/>
          <w:szCs w:val="28"/>
        </w:rPr>
        <w:t>=0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275"/>
        <w:gridCol w:w="2789"/>
        <w:gridCol w:w="2347"/>
      </w:tblGrid>
      <w:tr w:rsidR="000B3F08" w:rsidRPr="000B3F08" w:rsidTr="00575BD0">
        <w:trPr>
          <w:jc w:val="center"/>
        </w:trPr>
        <w:tc>
          <w:tcPr>
            <w:tcW w:w="4362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Показатели</w:t>
            </w:r>
          </w:p>
        </w:tc>
        <w:tc>
          <w:tcPr>
            <w:tcW w:w="2835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Старое оборудование</w:t>
            </w:r>
          </w:p>
        </w:tc>
        <w:tc>
          <w:tcPr>
            <w:tcW w:w="2374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Новое оборудование</w:t>
            </w:r>
          </w:p>
        </w:tc>
      </w:tr>
      <w:tr w:rsidR="000B3F08" w:rsidRPr="000B3F08" w:rsidTr="00575BD0">
        <w:trPr>
          <w:jc w:val="center"/>
        </w:trPr>
        <w:tc>
          <w:tcPr>
            <w:tcW w:w="4362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1. Среднегодовые эксплуатационные расходы, млн. руб.</w:t>
            </w:r>
          </w:p>
        </w:tc>
        <w:tc>
          <w:tcPr>
            <w:tcW w:w="2835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2374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</w:tr>
      <w:tr w:rsidR="000B3F08" w:rsidRPr="000B3F08" w:rsidTr="00575BD0">
        <w:trPr>
          <w:jc w:val="center"/>
        </w:trPr>
        <w:tc>
          <w:tcPr>
            <w:tcW w:w="4362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2. Затраты на приобретение нового оборудования, млн. руб.</w:t>
            </w:r>
          </w:p>
        </w:tc>
        <w:tc>
          <w:tcPr>
            <w:tcW w:w="2835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2374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100</w:t>
            </w:r>
          </w:p>
        </w:tc>
      </w:tr>
      <w:tr w:rsidR="000B3F08" w:rsidRPr="000B3F08" w:rsidTr="00575BD0">
        <w:trPr>
          <w:jc w:val="center"/>
        </w:trPr>
        <w:tc>
          <w:tcPr>
            <w:tcW w:w="4362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3. Срок службы, лет</w:t>
            </w:r>
          </w:p>
        </w:tc>
        <w:tc>
          <w:tcPr>
            <w:tcW w:w="2835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374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0B3F08" w:rsidRPr="000B3F08" w:rsidTr="00575BD0">
        <w:trPr>
          <w:jc w:val="center"/>
        </w:trPr>
        <w:tc>
          <w:tcPr>
            <w:tcW w:w="4362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4. Остаточная стоимость старого оборудования, млн. руб.</w:t>
            </w:r>
          </w:p>
          <w:p w:rsidR="000B3F08" w:rsidRPr="000B3F08" w:rsidRDefault="000B3F08" w:rsidP="000B3F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 xml:space="preserve">для момента </w:t>
            </w:r>
            <w:r w:rsidRPr="000B3F08">
              <w:rPr>
                <w:rFonts w:ascii="Times New Roman" w:eastAsia="Calibri" w:hAnsi="Times New Roman" w:cs="Times New Roman"/>
                <w:sz w:val="28"/>
                <w:lang w:val="en-US"/>
              </w:rPr>
              <w:t>t</w:t>
            </w:r>
            <w:r w:rsidRPr="000B3F08">
              <w:rPr>
                <w:rFonts w:ascii="Times New Roman" w:eastAsia="Calibri" w:hAnsi="Times New Roman" w:cs="Times New Roman"/>
                <w:sz w:val="28"/>
              </w:rPr>
              <w:t>=0</w:t>
            </w:r>
          </w:p>
          <w:p w:rsidR="000B3F08" w:rsidRPr="000B3F08" w:rsidRDefault="000B3F08" w:rsidP="000B3F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 xml:space="preserve">для момента </w:t>
            </w:r>
            <w:r w:rsidRPr="000B3F08">
              <w:rPr>
                <w:rFonts w:ascii="Times New Roman" w:eastAsia="Calibri" w:hAnsi="Times New Roman" w:cs="Times New Roman"/>
                <w:sz w:val="28"/>
                <w:lang w:val="en-US"/>
              </w:rPr>
              <w:t>t</w:t>
            </w:r>
            <w:r w:rsidRPr="000B3F08">
              <w:rPr>
                <w:rFonts w:ascii="Times New Roman" w:eastAsia="Calibri" w:hAnsi="Times New Roman" w:cs="Times New Roman"/>
                <w:sz w:val="28"/>
              </w:rPr>
              <w:t>=</w:t>
            </w:r>
            <w:r w:rsidRPr="000B3F08">
              <w:rPr>
                <w:rFonts w:ascii="Times New Roman" w:eastAsia="Calibri" w:hAnsi="Times New Roman" w:cs="Times New Roman"/>
                <w:sz w:val="28"/>
                <w:lang w:val="en-US"/>
              </w:rPr>
              <w:t>t</w:t>
            </w:r>
            <w:r w:rsidRPr="000B3F08">
              <w:rPr>
                <w:rFonts w:ascii="Times New Roman" w:eastAsia="Calibri" w:hAnsi="Times New Roman" w:cs="Times New Roman"/>
                <w:sz w:val="28"/>
                <w:vertAlign w:val="subscript"/>
              </w:rPr>
              <w:t>службы</w:t>
            </w:r>
          </w:p>
        </w:tc>
        <w:tc>
          <w:tcPr>
            <w:tcW w:w="2835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-</w:t>
            </w:r>
          </w:p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7</w:t>
            </w:r>
          </w:p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374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-</w:t>
            </w:r>
          </w:p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-</w:t>
            </w:r>
          </w:p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0B3F08" w:rsidRPr="000B3F08" w:rsidTr="00575BD0">
        <w:trPr>
          <w:jc w:val="center"/>
        </w:trPr>
        <w:tc>
          <w:tcPr>
            <w:tcW w:w="4362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5. Норма дисконта, %</w:t>
            </w:r>
          </w:p>
        </w:tc>
        <w:tc>
          <w:tcPr>
            <w:tcW w:w="2835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B3F08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374" w:type="dxa"/>
            <w:vAlign w:val="center"/>
          </w:tcPr>
          <w:p w:rsidR="000B3F08" w:rsidRPr="000B3F08" w:rsidRDefault="000B3F08" w:rsidP="000B3F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51574" w:rsidRDefault="00751574" w:rsidP="00453C8C"/>
    <w:p w:rsidR="00751574" w:rsidRDefault="00751574" w:rsidP="00453C8C"/>
    <w:p w:rsidR="002B33F3" w:rsidRPr="000F59D6" w:rsidRDefault="00FE5429" w:rsidP="00E0262E">
      <w:pPr>
        <w:pStyle w:val="1"/>
        <w:ind w:firstLine="708"/>
        <w:rPr>
          <w:rFonts w:ascii="Times New Roman" w:hAnsi="Times New Roman" w:cs="Times New Roman"/>
          <w:b/>
          <w:color w:val="FF0000"/>
          <w:sz w:val="28"/>
        </w:rPr>
      </w:pPr>
      <w:bookmarkStart w:id="6" w:name="_Toc399460569"/>
      <w:r w:rsidRPr="000F59D6">
        <w:rPr>
          <w:rFonts w:ascii="Times New Roman" w:hAnsi="Times New Roman" w:cs="Times New Roman"/>
          <w:b/>
          <w:color w:val="FF0000"/>
          <w:sz w:val="28"/>
        </w:rPr>
        <w:t>Задание 5</w:t>
      </w:r>
      <w:bookmarkEnd w:id="6"/>
    </w:p>
    <w:p w:rsidR="00FE5429" w:rsidRDefault="00FE5429" w:rsidP="00453C8C"/>
    <w:p w:rsidR="00C80152" w:rsidRPr="00C80152" w:rsidRDefault="00C80152" w:rsidP="00C80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величину горной ренты </w:t>
      </w:r>
      <w:r w:rsidRPr="00C80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(рентных платежей) в нефтедобывающей промышленности исходя из среднесуточных дебитов скважин.</w:t>
      </w:r>
    </w:p>
    <w:tbl>
      <w:tblPr>
        <w:tblStyle w:val="11"/>
        <w:tblW w:w="5000" w:type="pct"/>
        <w:tblLook w:val="01E0"/>
      </w:tblPr>
      <w:tblGrid>
        <w:gridCol w:w="2104"/>
        <w:gridCol w:w="1880"/>
        <w:gridCol w:w="1975"/>
        <w:gridCol w:w="2356"/>
        <w:gridCol w:w="1256"/>
      </w:tblGrid>
      <w:tr w:rsidR="00C80152" w:rsidRPr="00C80152" w:rsidTr="000B3F08">
        <w:trPr>
          <w:trHeight w:val="310"/>
        </w:trPr>
        <w:tc>
          <w:tcPr>
            <w:tcW w:w="1099" w:type="pct"/>
            <w:vMerge w:val="restar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Номер интервала де-</w:t>
            </w:r>
          </w:p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битов (</w:t>
            </w:r>
            <w:r w:rsidRPr="00C80152">
              <w:rPr>
                <w:color w:val="000000"/>
                <w:lang w:val="en-US"/>
              </w:rPr>
              <w:t>i</w:t>
            </w:r>
            <w:r w:rsidRPr="00C80152">
              <w:rPr>
                <w:color w:val="000000"/>
              </w:rPr>
              <w:t xml:space="preserve">) </w:t>
            </w:r>
          </w:p>
        </w:tc>
        <w:tc>
          <w:tcPr>
            <w:tcW w:w="2014" w:type="pct"/>
            <w:gridSpan w:val="2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 xml:space="preserve">Среднесуточные дебиты скважин, т/сут. </w:t>
            </w:r>
          </w:p>
        </w:tc>
        <w:tc>
          <w:tcPr>
            <w:tcW w:w="1231" w:type="pct"/>
            <w:vMerge w:val="restar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Объем добычи нефти, т</w:t>
            </w:r>
          </w:p>
        </w:tc>
        <w:tc>
          <w:tcPr>
            <w:tcW w:w="656" w:type="pct"/>
            <w:vMerge w:val="restar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Сумма гор-</w:t>
            </w:r>
          </w:p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ной ренты,</w:t>
            </w:r>
          </w:p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 xml:space="preserve">млн. долл. </w:t>
            </w:r>
          </w:p>
        </w:tc>
      </w:tr>
      <w:tr w:rsidR="00C80152" w:rsidRPr="00C80152" w:rsidTr="000B3F08">
        <w:trPr>
          <w:trHeight w:hRule="exact" w:val="585"/>
        </w:trPr>
        <w:tc>
          <w:tcPr>
            <w:tcW w:w="1099" w:type="pct"/>
            <w:vMerge/>
          </w:tcPr>
          <w:p w:rsidR="00C80152" w:rsidRPr="00C80152" w:rsidRDefault="00C80152" w:rsidP="00C80152">
            <w:pPr>
              <w:rPr>
                <w:color w:val="000000"/>
              </w:rPr>
            </w:pP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 xml:space="preserve">min </w:t>
            </w:r>
            <w:r w:rsidRPr="00C80152">
              <w:rPr>
                <w:color w:val="000000"/>
              </w:rPr>
              <w:t>Д</w:t>
            </w:r>
            <w:r w:rsidRPr="00C80152">
              <w:rPr>
                <w:color w:val="000000"/>
                <w:vertAlign w:val="subscript"/>
              </w:rPr>
              <w:t>б</w:t>
            </w:r>
            <w:r w:rsidRPr="00C80152">
              <w:rPr>
                <w:color w:val="000000"/>
                <w:lang w:val="en-US"/>
              </w:rPr>
              <w:t xml:space="preserve"> (min</w:t>
            </w:r>
            <w:r w:rsidRPr="00C80152">
              <w:rPr>
                <w:color w:val="000000"/>
                <w:vertAlign w:val="subscript"/>
                <w:lang w:val="en-US"/>
              </w:rPr>
              <w:t>i</w:t>
            </w:r>
            <w:r w:rsidRPr="00C80152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 xml:space="preserve">max </w:t>
            </w:r>
            <w:r w:rsidRPr="00C80152">
              <w:rPr>
                <w:color w:val="000000"/>
              </w:rPr>
              <w:t>Д</w:t>
            </w:r>
            <w:r w:rsidRPr="00C80152">
              <w:rPr>
                <w:color w:val="000000"/>
                <w:vertAlign w:val="subscript"/>
              </w:rPr>
              <w:t>б</w:t>
            </w:r>
            <w:r w:rsidRPr="00C80152">
              <w:rPr>
                <w:color w:val="000000"/>
                <w:lang w:val="en-US"/>
              </w:rPr>
              <w:t xml:space="preserve"> (max</w:t>
            </w:r>
            <w:r w:rsidRPr="00C80152">
              <w:rPr>
                <w:color w:val="000000"/>
                <w:vertAlign w:val="subscript"/>
                <w:lang w:val="en-US"/>
              </w:rPr>
              <w:t>i</w:t>
            </w:r>
            <w:r w:rsidRPr="00C80152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1231" w:type="pct"/>
            <w:vMerge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</w:p>
        </w:tc>
        <w:tc>
          <w:tcPr>
            <w:tcW w:w="656" w:type="pct"/>
            <w:vMerge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</w:p>
        </w:tc>
      </w:tr>
      <w:tr w:rsidR="00C80152" w:rsidRPr="00C80152" w:rsidTr="000B3F08">
        <w:trPr>
          <w:trHeight w:val="234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-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9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120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  <w:lang w:val="en-US"/>
              </w:rPr>
              <w:t>0,00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2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9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13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40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2112,00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3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13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15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40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2215,38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4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15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70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60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29280,00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5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70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90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52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7220,57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6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90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102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20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2480,00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7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102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107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28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3228,24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8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107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114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20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2355,14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9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114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120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8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934,74</w:t>
            </w:r>
          </w:p>
        </w:tc>
      </w:tr>
      <w:tr w:rsidR="00C80152" w:rsidRPr="00C80152" w:rsidTr="000B3F08">
        <w:trPr>
          <w:trHeight w:val="229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10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120</w:t>
            </w: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128</w:t>
            </w: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  <w:lang w:val="en-US"/>
              </w:rPr>
              <w:t>12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  <w:lang w:val="en-US"/>
              </w:rPr>
            </w:pPr>
            <w:r w:rsidRPr="00C80152">
              <w:rPr>
                <w:color w:val="000000"/>
              </w:rPr>
              <w:t>1428,00</w:t>
            </w:r>
          </w:p>
        </w:tc>
      </w:tr>
      <w:tr w:rsidR="00C80152" w:rsidRPr="00C80152" w:rsidTr="000B3F08">
        <w:trPr>
          <w:trHeight w:hRule="exact" w:val="355"/>
        </w:trPr>
        <w:tc>
          <w:tcPr>
            <w:tcW w:w="1099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Итого</w:t>
            </w:r>
          </w:p>
        </w:tc>
        <w:tc>
          <w:tcPr>
            <w:tcW w:w="982" w:type="pct"/>
          </w:tcPr>
          <w:p w:rsidR="00C80152" w:rsidRPr="00C80152" w:rsidRDefault="00C80152" w:rsidP="00C80152">
            <w:pPr>
              <w:rPr>
                <w:color w:val="000000"/>
              </w:rPr>
            </w:pPr>
          </w:p>
        </w:tc>
        <w:tc>
          <w:tcPr>
            <w:tcW w:w="1032" w:type="pct"/>
          </w:tcPr>
          <w:p w:rsidR="00C80152" w:rsidRPr="00C80152" w:rsidRDefault="00C80152" w:rsidP="00C80152">
            <w:pPr>
              <w:rPr>
                <w:color w:val="000000"/>
              </w:rPr>
            </w:pPr>
          </w:p>
        </w:tc>
        <w:tc>
          <w:tcPr>
            <w:tcW w:w="1231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400</w:t>
            </w:r>
          </w:p>
        </w:tc>
        <w:tc>
          <w:tcPr>
            <w:tcW w:w="656" w:type="pct"/>
          </w:tcPr>
          <w:p w:rsidR="00C80152" w:rsidRPr="00C80152" w:rsidRDefault="00C80152" w:rsidP="00C80152">
            <w:pPr>
              <w:rPr>
                <w:color w:val="000000"/>
              </w:rPr>
            </w:pPr>
            <w:r w:rsidRPr="00C80152">
              <w:rPr>
                <w:color w:val="000000"/>
              </w:rPr>
              <w:t>49142,07</w:t>
            </w:r>
          </w:p>
          <w:p w:rsidR="00C80152" w:rsidRPr="00C80152" w:rsidRDefault="00C80152" w:rsidP="00C80152">
            <w:pPr>
              <w:rPr>
                <w:color w:val="000000"/>
              </w:rPr>
            </w:pPr>
          </w:p>
        </w:tc>
      </w:tr>
    </w:tbl>
    <w:p w:rsidR="00C80152" w:rsidRPr="00C80152" w:rsidRDefault="00C80152" w:rsidP="00C80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52" w:rsidRPr="00C80152" w:rsidRDefault="000B3F08" w:rsidP="00E026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80152" w:rsidRDefault="00C80152" w:rsidP="00C80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08" w:rsidRDefault="000B3F08" w:rsidP="00C80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40" w:rsidRDefault="008A3B40" w:rsidP="00453C8C">
      <w:bookmarkStart w:id="7" w:name="_GoBack"/>
      <w:bookmarkEnd w:id="7"/>
    </w:p>
    <w:p w:rsidR="008A3B40" w:rsidRDefault="008A3B40" w:rsidP="00453C8C"/>
    <w:p w:rsidR="008A3B40" w:rsidRDefault="008A3B40" w:rsidP="00453C8C"/>
    <w:p w:rsidR="008A3B40" w:rsidRDefault="008A3B40" w:rsidP="00453C8C"/>
    <w:p w:rsidR="008A3B40" w:rsidRDefault="008A3B40" w:rsidP="00453C8C"/>
    <w:p w:rsidR="008A3B40" w:rsidRDefault="008A3B40" w:rsidP="00453C8C"/>
    <w:p w:rsidR="008A3B40" w:rsidRPr="00453C8C" w:rsidRDefault="008A3B40" w:rsidP="00453C8C"/>
    <w:p w:rsidR="00453C8C" w:rsidRPr="00453C8C" w:rsidRDefault="00453C8C" w:rsidP="00453C8C"/>
    <w:p w:rsidR="00453C8C" w:rsidRPr="00453C8C" w:rsidRDefault="00453C8C" w:rsidP="00453C8C"/>
    <w:p w:rsidR="00453C8C" w:rsidRDefault="00453C8C" w:rsidP="00453C8C"/>
    <w:p w:rsidR="00BA2D29" w:rsidRPr="00453C8C" w:rsidRDefault="00453C8C" w:rsidP="00453C8C">
      <w:pPr>
        <w:tabs>
          <w:tab w:val="left" w:pos="5205"/>
        </w:tabs>
      </w:pPr>
      <w:r>
        <w:tab/>
      </w:r>
    </w:p>
    <w:sectPr w:rsidR="00BA2D29" w:rsidRPr="00453C8C" w:rsidSect="008871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4F" w:rsidRDefault="000F294F" w:rsidP="00453C8C">
      <w:pPr>
        <w:spacing w:after="0" w:line="240" w:lineRule="auto"/>
      </w:pPr>
      <w:r>
        <w:separator/>
      </w:r>
    </w:p>
  </w:endnote>
  <w:endnote w:type="continuationSeparator" w:id="1">
    <w:p w:rsidR="000F294F" w:rsidRDefault="000F294F" w:rsidP="0045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163179"/>
      <w:docPartObj>
        <w:docPartGallery w:val="Page Numbers (Bottom of Page)"/>
        <w:docPartUnique/>
      </w:docPartObj>
    </w:sdtPr>
    <w:sdtContent>
      <w:p w:rsidR="002E6293" w:rsidRDefault="00887103">
        <w:pPr>
          <w:pStyle w:val="a6"/>
          <w:jc w:val="center"/>
        </w:pPr>
        <w:r>
          <w:fldChar w:fldCharType="begin"/>
        </w:r>
        <w:r w:rsidR="002E6293">
          <w:instrText>PAGE   \* MERGEFORMAT</w:instrText>
        </w:r>
        <w:r>
          <w:fldChar w:fldCharType="separate"/>
        </w:r>
        <w:r w:rsidR="00E0262E">
          <w:rPr>
            <w:noProof/>
          </w:rPr>
          <w:t>4</w:t>
        </w:r>
        <w:r>
          <w:fldChar w:fldCharType="end"/>
        </w:r>
      </w:p>
    </w:sdtContent>
  </w:sdt>
  <w:p w:rsidR="002E6293" w:rsidRDefault="002E62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4F" w:rsidRDefault="000F294F" w:rsidP="00453C8C">
      <w:pPr>
        <w:spacing w:after="0" w:line="240" w:lineRule="auto"/>
      </w:pPr>
      <w:r>
        <w:separator/>
      </w:r>
    </w:p>
  </w:footnote>
  <w:footnote w:type="continuationSeparator" w:id="1">
    <w:p w:rsidR="000F294F" w:rsidRDefault="000F294F" w:rsidP="0045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425"/>
    <w:multiLevelType w:val="hybridMultilevel"/>
    <w:tmpl w:val="047C6424"/>
    <w:lvl w:ilvl="0" w:tplc="2C368ED6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1860633C"/>
    <w:multiLevelType w:val="hybridMultilevel"/>
    <w:tmpl w:val="775EBCA2"/>
    <w:lvl w:ilvl="0" w:tplc="1462771A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C8C"/>
    <w:rsid w:val="0009408A"/>
    <w:rsid w:val="000B3F08"/>
    <w:rsid w:val="000F294F"/>
    <w:rsid w:val="000F59D6"/>
    <w:rsid w:val="001246E0"/>
    <w:rsid w:val="001C6516"/>
    <w:rsid w:val="002461B0"/>
    <w:rsid w:val="00265218"/>
    <w:rsid w:val="002B33F3"/>
    <w:rsid w:val="002E6293"/>
    <w:rsid w:val="003C7161"/>
    <w:rsid w:val="00453C8C"/>
    <w:rsid w:val="0060305B"/>
    <w:rsid w:val="00751574"/>
    <w:rsid w:val="00887103"/>
    <w:rsid w:val="008A3B40"/>
    <w:rsid w:val="009A47B3"/>
    <w:rsid w:val="00A17A66"/>
    <w:rsid w:val="00B40EEB"/>
    <w:rsid w:val="00BA2D29"/>
    <w:rsid w:val="00C80152"/>
    <w:rsid w:val="00DF1CB9"/>
    <w:rsid w:val="00E0262E"/>
    <w:rsid w:val="00E52B44"/>
    <w:rsid w:val="00F530FF"/>
    <w:rsid w:val="00FB4A29"/>
    <w:rsid w:val="00FE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3"/>
  </w:style>
  <w:style w:type="paragraph" w:styleId="1">
    <w:name w:val="heading 1"/>
    <w:basedOn w:val="a"/>
    <w:next w:val="a"/>
    <w:link w:val="10"/>
    <w:uiPriority w:val="9"/>
    <w:qFormat/>
    <w:rsid w:val="002E6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C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C8C"/>
  </w:style>
  <w:style w:type="paragraph" w:styleId="a6">
    <w:name w:val="footer"/>
    <w:basedOn w:val="a"/>
    <w:link w:val="a7"/>
    <w:uiPriority w:val="99"/>
    <w:unhideWhenUsed/>
    <w:rsid w:val="004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C8C"/>
  </w:style>
  <w:style w:type="table" w:customStyle="1" w:styleId="11">
    <w:name w:val="Стиль таблицы1"/>
    <w:basedOn w:val="a1"/>
    <w:uiPriority w:val="99"/>
    <w:rsid w:val="008A3B4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Normal (Web)"/>
    <w:basedOn w:val="a"/>
    <w:uiPriority w:val="99"/>
    <w:semiHidden/>
    <w:unhideWhenUsed/>
    <w:rsid w:val="001C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516"/>
  </w:style>
  <w:style w:type="character" w:styleId="a9">
    <w:name w:val="Placeholder Text"/>
    <w:basedOn w:val="a0"/>
    <w:uiPriority w:val="99"/>
    <w:semiHidden/>
    <w:rsid w:val="001C651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E6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7A6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9408A"/>
    <w:pPr>
      <w:tabs>
        <w:tab w:val="right" w:leader="dot" w:pos="9348"/>
      </w:tabs>
      <w:spacing w:after="100" w:line="360" w:lineRule="auto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17A6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C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C8C"/>
  </w:style>
  <w:style w:type="paragraph" w:styleId="a6">
    <w:name w:val="footer"/>
    <w:basedOn w:val="a"/>
    <w:link w:val="a7"/>
    <w:uiPriority w:val="99"/>
    <w:unhideWhenUsed/>
    <w:rsid w:val="004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C8C"/>
  </w:style>
  <w:style w:type="table" w:customStyle="1" w:styleId="11">
    <w:name w:val="Стиль таблицы1"/>
    <w:basedOn w:val="a1"/>
    <w:uiPriority w:val="99"/>
    <w:rsid w:val="008A3B4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Normal (Web)"/>
    <w:basedOn w:val="a"/>
    <w:uiPriority w:val="99"/>
    <w:semiHidden/>
    <w:unhideWhenUsed/>
    <w:rsid w:val="001C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516"/>
  </w:style>
  <w:style w:type="character" w:styleId="a9">
    <w:name w:val="Placeholder Text"/>
    <w:basedOn w:val="a0"/>
    <w:uiPriority w:val="99"/>
    <w:semiHidden/>
    <w:rsid w:val="001C651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E6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7A6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9408A"/>
    <w:pPr>
      <w:tabs>
        <w:tab w:val="right" w:leader="dot" w:pos="9348"/>
      </w:tabs>
      <w:spacing w:after="100" w:line="360" w:lineRule="auto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17A6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16D5-B826-4E6F-98A9-A1051C1B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Алексей</cp:lastModifiedBy>
  <cp:revision>4</cp:revision>
  <dcterms:created xsi:type="dcterms:W3CDTF">2015-06-15T04:16:00Z</dcterms:created>
  <dcterms:modified xsi:type="dcterms:W3CDTF">2015-06-18T18:14:00Z</dcterms:modified>
</cp:coreProperties>
</file>