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8"/>
        <w:tblW w:w="0" w:type="auto"/>
        <w:tblBorders>
          <w:bottom w:val="thinThickSmallGap" w:sz="24" w:space="0" w:color="auto"/>
        </w:tblBorders>
        <w:tblLook w:val="01E0"/>
      </w:tblPr>
      <w:tblGrid>
        <w:gridCol w:w="1598"/>
        <w:gridCol w:w="7215"/>
      </w:tblGrid>
      <w:tr w:rsidR="005E53DD" w:rsidTr="00A83916">
        <w:trPr>
          <w:trHeight w:val="1385"/>
        </w:trPr>
        <w:tc>
          <w:tcPr>
            <w:tcW w:w="1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53DD" w:rsidRDefault="005E53DD" w:rsidP="00A83916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-6350</wp:posOffset>
                  </wp:positionV>
                  <wp:extent cx="1028700" cy="782320"/>
                  <wp:effectExtent l="0" t="0" r="0" b="0"/>
                  <wp:wrapNone/>
                  <wp:docPr id="5" name="Рисунок 5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E53DD" w:rsidRDefault="005E53DD" w:rsidP="00A83916">
            <w:pPr>
              <w:pStyle w:val="a6"/>
              <w:ind w:left="-864"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И НАУКИ  РОССИЙСКОЙ ФЕДЕРАЦИИ</w:t>
            </w:r>
          </w:p>
          <w:p w:rsidR="005E53DD" w:rsidRDefault="005E53DD" w:rsidP="00A83916">
            <w:pPr>
              <w:pStyle w:val="a6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ЮЖНО-УРАЛЬСКИЙ ГОСУДАРСТВЕННЫЙ УНИВЕРСИТЕТ, </w:t>
            </w:r>
          </w:p>
          <w:p w:rsidR="005E53DD" w:rsidRDefault="005E53DD" w:rsidP="00A83916">
            <w:pPr>
              <w:pStyle w:val="a6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ФИЛИАЛ В Г.НИЖНЕВАРТОВСКЕ</w:t>
            </w:r>
          </w:p>
          <w:p w:rsidR="005E53DD" w:rsidRDefault="005E53DD" w:rsidP="00A83916">
            <w:pPr>
              <w:pStyle w:val="a6"/>
              <w:ind w:left="-488" w:right="-648"/>
              <w:rPr>
                <w:b/>
                <w:sz w:val="22"/>
                <w:szCs w:val="22"/>
              </w:rPr>
            </w:pPr>
          </w:p>
          <w:p w:rsidR="005E53DD" w:rsidRDefault="005E53DD" w:rsidP="00A83916">
            <w:pPr>
              <w:pStyle w:val="a6"/>
              <w:ind w:left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КАФЕДРА «ИНФОРМАТИКА»</w:t>
            </w:r>
          </w:p>
        </w:tc>
      </w:tr>
    </w:tbl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5E53DD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181610</wp:posOffset>
            </wp:positionV>
            <wp:extent cx="952500" cy="723900"/>
            <wp:effectExtent l="0" t="0" r="0" b="0"/>
            <wp:wrapTight wrapText="bothSides">
              <wp:wrapPolygon edited="0">
                <wp:start x="5184" y="0"/>
                <wp:lineTo x="0" y="3411"/>
                <wp:lineTo x="0" y="14779"/>
                <wp:lineTo x="1296" y="18189"/>
                <wp:lineTo x="5184" y="21032"/>
                <wp:lineTo x="5616" y="21032"/>
                <wp:lineTo x="15120" y="21032"/>
                <wp:lineTo x="15984" y="21032"/>
                <wp:lineTo x="19440" y="18758"/>
                <wp:lineTo x="19440" y="18189"/>
                <wp:lineTo x="21168" y="10800"/>
                <wp:lineTo x="21168" y="2842"/>
                <wp:lineTo x="15120" y="0"/>
                <wp:lineTo x="518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4F0492" w:rsidP="001A5D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управления</w:t>
      </w:r>
    </w:p>
    <w:p w:rsidR="001A5DA7" w:rsidRPr="001A5DA7" w:rsidRDefault="001A5DA7" w:rsidP="001A5D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к выполнению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E10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200100.62 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Приборостроение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A5DA7" w:rsidRPr="001A5DA7" w:rsidRDefault="004F0492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100 – Информатика и вычислительная техника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Pr="001A5DA7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</w:t>
      </w: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2014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C93779" w:rsidRDefault="001A5DA7" w:rsidP="00C93779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93779">
        <w:rPr>
          <w:rFonts w:ascii="Times New Roman" w:eastAsia="Times New Roman" w:hAnsi="Times New Roman"/>
          <w:lang w:eastAsia="ru-RU"/>
        </w:rPr>
        <w:lastRenderedPageBreak/>
        <w:t xml:space="preserve">УДК </w:t>
      </w:r>
    </w:p>
    <w:p w:rsidR="005E53DD" w:rsidRPr="00C93779" w:rsidRDefault="005E53DD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93779">
        <w:t>©</w:t>
      </w:r>
      <w:r w:rsidRPr="00C93779">
        <w:rPr>
          <w:rFonts w:ascii="Times New Roman" w:eastAsia="Times New Roman" w:hAnsi="Times New Roman"/>
          <w:lang w:eastAsia="ru-RU"/>
        </w:rPr>
        <w:t xml:space="preserve"> Зверева Е.А.</w:t>
      </w: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hAnsi="Times New Roman"/>
        </w:rPr>
      </w:pPr>
      <w:r w:rsidRPr="00C93779">
        <w:rPr>
          <w:rFonts w:ascii="Times New Roman" w:hAnsi="Times New Roman"/>
        </w:rPr>
        <w:t>Одобрено</w:t>
      </w: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hAnsi="Times New Roman"/>
        </w:rPr>
      </w:pPr>
      <w:r w:rsidRPr="00C93779">
        <w:rPr>
          <w:rFonts w:ascii="Times New Roman" w:hAnsi="Times New Roman"/>
        </w:rPr>
        <w:t>редакционно-издательским советом филиала</w:t>
      </w: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hAnsi="Times New Roman"/>
        </w:rPr>
      </w:pPr>
      <w:r w:rsidRPr="00C93779">
        <w:rPr>
          <w:rFonts w:ascii="Times New Roman" w:hAnsi="Times New Roman"/>
        </w:rPr>
        <w:t>(протокол № 2 от 16.10.2014)</w:t>
      </w:r>
    </w:p>
    <w:p w:rsidR="001A5DA7" w:rsidRPr="00C93779" w:rsidRDefault="001A5DA7" w:rsidP="00C93779">
      <w:pPr>
        <w:spacing w:after="0" w:line="360" w:lineRule="auto"/>
        <w:ind w:left="540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 xml:space="preserve"> </w:t>
      </w: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290E10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>Теория управления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: методические </w:t>
      </w:r>
      <w:r w:rsidRPr="00C93779">
        <w:rPr>
          <w:rFonts w:ascii="Times New Roman" w:eastAsia="Times New Roman" w:hAnsi="Times New Roman"/>
          <w:lang w:eastAsia="ru-RU"/>
        </w:rPr>
        <w:t xml:space="preserve">указания к выполнению курсовой работы </w:t>
      </w:r>
      <w:r w:rsidR="001A5DA7" w:rsidRPr="00C93779">
        <w:rPr>
          <w:rFonts w:ascii="Times New Roman" w:eastAsia="Times New Roman" w:hAnsi="Times New Roman"/>
          <w:lang w:eastAsia="ru-RU"/>
        </w:rPr>
        <w:t>для направлени</w:t>
      </w:r>
      <w:r w:rsidRPr="00C93779">
        <w:rPr>
          <w:rFonts w:ascii="Times New Roman" w:eastAsia="Times New Roman" w:hAnsi="Times New Roman"/>
          <w:lang w:eastAsia="ru-RU"/>
        </w:rPr>
        <w:t>й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200100.62 </w:t>
      </w:r>
      <w:r w:rsidRPr="00C93779">
        <w:rPr>
          <w:rFonts w:ascii="Times New Roman" w:eastAsia="Times New Roman" w:hAnsi="Times New Roman"/>
          <w:lang w:eastAsia="ru-RU"/>
        </w:rPr>
        <w:t>–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Приборостроение</w:t>
      </w:r>
      <w:r w:rsidRPr="00C93779">
        <w:rPr>
          <w:rFonts w:ascii="Times New Roman" w:eastAsia="Times New Roman" w:hAnsi="Times New Roman"/>
          <w:lang w:eastAsia="ru-RU"/>
        </w:rPr>
        <w:t xml:space="preserve">, 230100 – Информатика и вычислительная техника </w:t>
      </w:r>
      <w:r w:rsidR="001A5DA7" w:rsidRPr="00C93779">
        <w:rPr>
          <w:rFonts w:ascii="Times New Roman" w:eastAsia="Times New Roman" w:hAnsi="Times New Roman"/>
          <w:lang w:eastAsia="ru-RU"/>
        </w:rPr>
        <w:t>/</w:t>
      </w:r>
      <w:r w:rsidR="005E53DD" w:rsidRPr="00C93779">
        <w:rPr>
          <w:rFonts w:ascii="Times New Roman" w:eastAsia="Times New Roman" w:hAnsi="Times New Roman"/>
          <w:lang w:eastAsia="ru-RU"/>
        </w:rPr>
        <w:t xml:space="preserve"> 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Е.А. Зверева  </w:t>
      </w:r>
      <w:r w:rsidR="005E53DD" w:rsidRPr="00C93779">
        <w:rPr>
          <w:rFonts w:ascii="Times New Roman" w:eastAsia="Times New Roman" w:hAnsi="Times New Roman"/>
          <w:lang w:eastAsia="ru-RU"/>
        </w:rPr>
        <w:t>– Нижневартовск,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2014. – </w:t>
      </w:r>
      <w:r w:rsidR="002355B6" w:rsidRPr="00C93779">
        <w:rPr>
          <w:rFonts w:ascii="Times New Roman" w:eastAsia="Times New Roman" w:hAnsi="Times New Roman"/>
          <w:lang w:eastAsia="ru-RU"/>
        </w:rPr>
        <w:t>1</w:t>
      </w:r>
      <w:r w:rsidR="00186161" w:rsidRPr="00C93779">
        <w:rPr>
          <w:rFonts w:ascii="Times New Roman" w:eastAsia="Times New Roman" w:hAnsi="Times New Roman"/>
          <w:lang w:eastAsia="ru-RU"/>
        </w:rPr>
        <w:t>1</w:t>
      </w:r>
      <w:r w:rsidR="002355B6" w:rsidRPr="00C93779">
        <w:rPr>
          <w:rFonts w:ascii="Times New Roman" w:eastAsia="Times New Roman" w:hAnsi="Times New Roman"/>
          <w:lang w:eastAsia="ru-RU"/>
        </w:rPr>
        <w:t>4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с.</w:t>
      </w: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E53DD" w:rsidRPr="00C93779" w:rsidRDefault="005E53DD" w:rsidP="00C93779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C93779" w:rsidRPr="00C93779" w:rsidRDefault="00C93779" w:rsidP="00C9377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 xml:space="preserve">Методические указания </w:t>
      </w:r>
      <w:r w:rsidR="005E53DD" w:rsidRPr="00C93779">
        <w:rPr>
          <w:rFonts w:ascii="Times New Roman" w:eastAsia="Times New Roman" w:hAnsi="Times New Roman"/>
          <w:lang w:eastAsia="ru-RU"/>
        </w:rPr>
        <w:t>составлены в соответствии с ФГОС-3 по направлени</w:t>
      </w:r>
      <w:r w:rsidRPr="00C93779">
        <w:rPr>
          <w:rFonts w:ascii="Times New Roman" w:eastAsia="Times New Roman" w:hAnsi="Times New Roman"/>
          <w:lang w:eastAsia="ru-RU"/>
        </w:rPr>
        <w:t>ям</w:t>
      </w:r>
      <w:r w:rsidR="005E53DD" w:rsidRPr="00C93779">
        <w:rPr>
          <w:rFonts w:ascii="Times New Roman" w:eastAsia="Times New Roman" w:hAnsi="Times New Roman"/>
          <w:lang w:eastAsia="ru-RU"/>
        </w:rPr>
        <w:t xml:space="preserve"> обучения 200100.62 - Приборостроение, 230100 – Информатика и вычислительная техника и предназначены </w:t>
      </w:r>
      <w:r w:rsidRPr="00C93779">
        <w:rPr>
          <w:rFonts w:ascii="Times New Roman" w:eastAsia="Times New Roman" w:hAnsi="Times New Roman"/>
          <w:lang w:eastAsia="ru-RU"/>
        </w:rPr>
        <w:t>для организации самостоятельной работы студента по дисциплин</w:t>
      </w:r>
      <w:r>
        <w:rPr>
          <w:rFonts w:ascii="Times New Roman" w:eastAsia="Times New Roman" w:hAnsi="Times New Roman"/>
          <w:lang w:eastAsia="ru-RU"/>
        </w:rPr>
        <w:t>ам</w:t>
      </w:r>
      <w:r w:rsidRPr="00C93779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 xml:space="preserve">Основы теории управления», «Основы автоматического управления» </w:t>
      </w:r>
      <w:r w:rsidRPr="00C93779">
        <w:rPr>
          <w:rFonts w:ascii="Times New Roman" w:eastAsia="Times New Roman" w:hAnsi="Times New Roman"/>
          <w:lang w:eastAsia="ru-RU"/>
        </w:rPr>
        <w:t xml:space="preserve">в рамках реализации </w:t>
      </w:r>
      <w:proofErr w:type="spellStart"/>
      <w:r w:rsidRPr="00C93779">
        <w:rPr>
          <w:rFonts w:ascii="Times New Roman" w:eastAsia="Times New Roman" w:hAnsi="Times New Roman"/>
          <w:lang w:eastAsia="ru-RU"/>
        </w:rPr>
        <w:t>компетентностного</w:t>
      </w:r>
      <w:proofErr w:type="spellEnd"/>
      <w:r w:rsidRPr="00C93779">
        <w:rPr>
          <w:rFonts w:ascii="Times New Roman" w:eastAsia="Times New Roman" w:hAnsi="Times New Roman"/>
          <w:lang w:eastAsia="ru-RU"/>
        </w:rPr>
        <w:t xml:space="preserve"> подхода в образовании. Д</w:t>
      </w:r>
      <w:r w:rsidRPr="00C9377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анные указания содержат зада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ние для выполнения курсовой работы </w:t>
      </w:r>
      <w:r w:rsidRPr="00C9377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 методику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его</w:t>
      </w:r>
      <w:r w:rsidRPr="00C9377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решения. </w:t>
      </w:r>
    </w:p>
    <w:p w:rsidR="001A5DA7" w:rsidRPr="00C93779" w:rsidRDefault="001A5DA7" w:rsidP="00C93779">
      <w:pPr>
        <w:spacing w:after="0" w:line="360" w:lineRule="auto"/>
        <w:ind w:firstLine="993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>Рецензент:</w:t>
      </w: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 xml:space="preserve">доцент кафедры Информатика, к.т.н., </w:t>
      </w:r>
      <w:r w:rsidRPr="00C93779">
        <w:rPr>
          <w:rFonts w:ascii="Times New Roman" w:eastAsia="Times New Roman" w:hAnsi="Times New Roman"/>
          <w:b/>
          <w:lang w:eastAsia="ru-RU"/>
        </w:rPr>
        <w:t>Д.В. Топольский</w:t>
      </w: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  <w:r w:rsidRPr="00C93779">
        <w:rPr>
          <w:rFonts w:ascii="Times New Roman" w:hAnsi="Times New Roman"/>
        </w:rPr>
        <w:t>Утверждено на заседании кафедры</w:t>
      </w: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  <w:r w:rsidRPr="00C93779">
        <w:rPr>
          <w:rFonts w:ascii="Times New Roman" w:hAnsi="Times New Roman"/>
        </w:rPr>
        <w:t>Протокол №2</w:t>
      </w:r>
    </w:p>
    <w:p w:rsidR="00162D04" w:rsidRDefault="004979C8" w:rsidP="00C93779">
      <w:pPr>
        <w:spacing w:after="0" w:line="360" w:lineRule="auto"/>
        <w:rPr>
          <w:rFonts w:ascii="Times New Roman" w:hAnsi="Times New Roman"/>
        </w:rPr>
        <w:sectPr w:rsidR="00162D04" w:rsidSect="00162D04">
          <w:footerReference w:type="default" r:id="rId9"/>
          <w:pgSz w:w="11906" w:h="16838"/>
          <w:pgMar w:top="993" w:right="850" w:bottom="426" w:left="1560" w:header="708" w:footer="3" w:gutter="0"/>
          <w:cols w:space="708"/>
          <w:docGrid w:linePitch="360"/>
        </w:sectPr>
      </w:pPr>
      <w:r w:rsidRPr="00C93779">
        <w:rPr>
          <w:rFonts w:ascii="Times New Roman" w:hAnsi="Times New Roman"/>
        </w:rPr>
        <w:t>«9» октября 2014 год</w:t>
      </w:r>
    </w:p>
    <w:p w:rsidR="001A5DA7" w:rsidRPr="000019D4" w:rsidRDefault="001A5DA7" w:rsidP="00E64175">
      <w:pPr>
        <w:jc w:val="center"/>
        <w:rPr>
          <w:rFonts w:ascii="Times New Roman" w:hAnsi="Times New Roman"/>
          <w:b/>
          <w:sz w:val="28"/>
          <w:szCs w:val="28"/>
        </w:rPr>
      </w:pPr>
      <w:r w:rsidRPr="000019D4">
        <w:rPr>
          <w:rFonts w:ascii="Times New Roman" w:hAnsi="Times New Roman"/>
          <w:b/>
          <w:sz w:val="28"/>
          <w:szCs w:val="28"/>
        </w:rPr>
        <w:lastRenderedPageBreak/>
        <w:t>1 ЗАДАНИЕ НА КУРСОВ</w:t>
      </w:r>
      <w:r w:rsidR="00290E10" w:rsidRPr="000019D4">
        <w:rPr>
          <w:rFonts w:ascii="Times New Roman" w:hAnsi="Times New Roman"/>
          <w:b/>
          <w:sz w:val="28"/>
          <w:szCs w:val="28"/>
        </w:rPr>
        <w:t>УЮ РАБОТУ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Записать выражения для передаточных функций (ПФ) разомкнутой системы, замкнутой системы и  ПФ  системы по ошибке (рис.1.1).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Рассчитать и построить логарифмические амплитудную и фазовую частотные характеристики разомкнутой системы, определить устойчивость системы по логарифмическому критерию, найти запасы устойчивости в системе, если система устойчива.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Найти полюса и нули замкнутой системы, изобразить их расположение на комплексной плоскости, найти корневые показатели качества.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и построить переходную характеристику системы, получить прямые показатели качества (перерегулирование и время регулирования). </w:t>
      </w:r>
    </w:p>
    <w:p w:rsidR="00B241CF" w:rsidRPr="000019D4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1CF" w:rsidRPr="00B241CF" w:rsidRDefault="00954591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</w:r>
      <w:r>
        <w:rPr>
          <w:rFonts w:ascii="Times New Roman" w:eastAsia="Times New Roman" w:hAnsi="Times New Roman"/>
          <w:lang w:eastAsia="ru-RU"/>
        </w:rPr>
        <w:pict>
          <v:group id="_x0000_s1045" editas="canvas" style="width:323.8pt;height:90.4pt;mso-position-horizontal-relative:char;mso-position-vertical-relative:line" coordorigin="2978,7772" coordsize="5079,13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978;top:7772;width:5079;height:1399" o:preferrelative="f">
              <v:fill o:detectmouseclick="t"/>
              <v:path o:extrusionok="t" o:connecttype="none"/>
              <o:lock v:ext="edit" text="t"/>
            </v:shape>
            <v:oval id="_x0000_s1047" style="position:absolute;left:3407;top:8051;width:424;height:418"/>
            <v:shape id="_x0000_s1048" style="position:absolute;left:3473;top:8124;width:294;height:279" coordsize="375,360" path="m,l375,360e" filled="f">
              <v:path arrowok="t"/>
            </v:shape>
            <v:shape id="_x0000_s1049" style="position:absolute;left:3447;top:8112;width:314;height:309" coordsize="401,400" path="m,400l401,e" filled="f">
              <v:path arrowok="t"/>
            </v:shape>
            <v:line id="_x0000_s1050" style="position:absolute" from="3831,8329" to="4113,8329">
              <v:stroke endarrow="block"/>
            </v:line>
            <v:line id="_x0000_s1051" style="position:absolute" from="2984,8329" to="3407,832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115;top:8097;width:441;height:394">
              <v:textbox style="mso-next-textbox:#_x0000_s1052">
                <w:txbxContent>
                  <w:p w:rsidR="00B241CF" w:rsidRDefault="00B241CF" w:rsidP="00B241CF">
                    <w:pPr>
                      <w:rPr>
                        <w:vertAlign w:val="subscript"/>
                      </w:rPr>
                    </w:pPr>
                    <w:r>
                      <w:t>К</w:t>
                    </w:r>
                    <w:r>
                      <w:rPr>
                        <w:vertAlign w:val="subscript"/>
                      </w:rPr>
                      <w:t>у</w:t>
                    </w:r>
                  </w:p>
                </w:txbxContent>
              </v:textbox>
            </v:shape>
            <v:shape id="_x0000_s1053" type="#_x0000_t202" style="position:absolute;left:4851;top:8086;width:461;height:417">
              <v:textbox style="mso-next-textbox:#_x0000_s1053">
                <w:txbxContent>
                  <w:p w:rsidR="00B241CF" w:rsidRDefault="00B241CF" w:rsidP="00B241CF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4" type="#_x0000_t202" style="position:absolute;left:5586;top:7978;width:1913;height:606">
              <v:textbox style="mso-next-textbox:#_x0000_s1054">
                <w:txbxContent>
                  <w:p w:rsidR="00B241CF" w:rsidRDefault="00B241CF" w:rsidP="00B241CF">
                    <w:r w:rsidRPr="00302653">
                      <w:rPr>
                        <w:position w:val="-54"/>
                      </w:rPr>
                      <w:object w:dxaOrig="4800" w:dyaOrig="1080">
                        <v:shape id="_x0000_i1054" type="#_x0000_t75" style="width:106.6pt;height:31.8pt" o:ole="">
                          <v:imagedata r:id="rId10" o:title=""/>
                        </v:shape>
                        <o:OLEObject Type="Embed" ProgID="Equation.3" ShapeID="_x0000_i1054" DrawAspect="Content" ObjectID="_1491491082" r:id="rId11"/>
                      </w:object>
                    </w:r>
                  </w:p>
                </w:txbxContent>
              </v:textbox>
            </v:shape>
            <v:line id="_x0000_s1055" style="position:absolute" from="4554,8281" to="4862,8282">
              <v:stroke endarrow="block"/>
            </v:line>
            <v:line id="_x0000_s1056" style="position:absolute" from="5312,8281" to="5586,8282">
              <v:stroke endarrow="block"/>
            </v:line>
            <v:shape id="_x0000_s1057" style="position:absolute;left:7519;top:8281;width:509;height:7" coordsize="649,9" path="m,l649,9e" filled="f">
              <v:stroke endarrow="block"/>
              <v:path arrowok="t"/>
            </v:shape>
            <v:line id="_x0000_s1058" style="position:absolute;flip:y" from="3549,8469" to="3549,9165">
              <v:stroke endarrow="block"/>
            </v:line>
            <v:line id="_x0000_s1059" style="position:absolute;flip:y" from="3549,9159" to="7684,9165"/>
            <v:line id="_x0000_s1060" style="position:absolute" from="7684,8303" to="7686,9140"/>
            <v:shape id="_x0000_s1061" type="#_x0000_t202" style="position:absolute;left:2984;top:7772;width:847;height:418" filled="f" stroked="f">
              <v:textbox style="mso-next-textbox:#_x0000_s1061">
                <w:txbxContent>
                  <w:p w:rsidR="00B241CF" w:rsidRDefault="00B241CF" w:rsidP="00B241C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1062" type="#_x0000_t202" style="position:absolute;left:7541;top:7837;width:516;height:418" filled="f" stroked="f">
              <v:textbox style="mso-next-textbox:#_x0000_s1062">
                <w:txbxContent>
                  <w:p w:rsidR="00B241CF" w:rsidRDefault="00B241CF" w:rsidP="00B241C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1063" type="#_x0000_t202" style="position:absolute;left:3549;top:8469;width:847;height:418" filled="f" stroked="f">
              <v:textbox style="mso-next-textbox:#_x0000_s1063">
                <w:txbxContent>
                  <w:p w:rsidR="00B241CF" w:rsidRDefault="00B241CF" w:rsidP="00B241C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Рис.1.1. Структурная схема исследуемой системы</w:t>
      </w: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Варианты параметров исследуемой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63"/>
        <w:gridCol w:w="2698"/>
        <w:gridCol w:w="719"/>
        <w:gridCol w:w="588"/>
        <w:gridCol w:w="92"/>
        <w:gridCol w:w="640"/>
        <w:gridCol w:w="789"/>
        <w:gridCol w:w="942"/>
        <w:gridCol w:w="944"/>
        <w:gridCol w:w="640"/>
        <w:gridCol w:w="437"/>
      </w:tblGrid>
      <w:tr w:rsidR="00B241CF" w:rsidRPr="00B241CF" w:rsidTr="000019D4">
        <w:tc>
          <w:tcPr>
            <w:tcW w:w="556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412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Регулятор</w:t>
            </w:r>
          </w:p>
        </w:tc>
        <w:tc>
          <w:tcPr>
            <w:tcW w:w="2467" w:type="pct"/>
            <w:gridSpan w:val="7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Параметры звеньев системы</w:t>
            </w:r>
          </w:p>
        </w:tc>
        <w:tc>
          <w:tcPr>
            <w:tcW w:w="335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Symbol" w:eastAsia="Times New Roman" w:hAnsi="Symbol"/>
                <w:b/>
                <w:sz w:val="20"/>
                <w:szCs w:val="20"/>
                <w:lang w:val="en-US" w:eastAsia="ru-RU"/>
              </w:rPr>
              <w:t>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9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</w:tr>
      <w:tr w:rsidR="000019D4" w:rsidRPr="00B241CF" w:rsidTr="000019D4">
        <w:tc>
          <w:tcPr>
            <w:tcW w:w="556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35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26" type="#_x0000_t75" style="width:77.6pt;height:30.85pt" o:ole="">
                  <v:imagedata r:id="rId12" o:title=""/>
                </v:shape>
                <o:OLEObject Type="Embed" ProgID="Equation.3" ShapeID="_x0000_i1026" DrawAspect="Content" ObjectID="_1491491054" r:id="rId13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7" type="#_x0000_t75" style="width:78.55pt;height:29.9pt" o:ole="">
                  <v:imagedata r:id="rId14" o:title=""/>
                </v:shape>
                <o:OLEObject Type="Embed" ProgID="Equation.3" ShapeID="_x0000_i1027" DrawAspect="Content" ObjectID="_1491491055" r:id="rId15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0.016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0.0030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28" type="#_x0000_t75" style="width:78.55pt;height:30.85pt" o:ole="">
                  <v:imagedata r:id="rId12" o:title=""/>
                </v:shape>
                <o:OLEObject Type="Embed" ProgID="Equation.3" ShapeID="_x0000_i1028" DrawAspect="Content" ObjectID="_1491491056" r:id="rId16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0.018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0.0028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9" type="#_x0000_t75" style="width:77.6pt;height:29.9pt" o:ole="">
                  <v:imagedata r:id="rId14" o:title=""/>
                </v:shape>
                <o:OLEObject Type="Embed" ProgID="Equation.3" ShapeID="_x0000_i1029" DrawAspect="Content" ObjectID="_1491491057" r:id="rId17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0.0026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0" type="#_x0000_t75" style="width:79.5pt;height:31.8pt" o:ole="">
                  <v:imagedata r:id="rId12" o:title=""/>
                </v:shape>
                <o:OLEObject Type="Embed" ProgID="Equation.3" ShapeID="_x0000_i1030" DrawAspect="Content" ObjectID="_1491491058" r:id="rId18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0.0024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1" type="#_x0000_t75" style="width:86.95pt;height:32.75pt" o:ole="">
                  <v:imagedata r:id="rId14" o:title=""/>
                </v:shape>
                <o:OLEObject Type="Embed" ProgID="Equation.3" ShapeID="_x0000_i1031" DrawAspect="Content" ObjectID="_1491491059" r:id="rId19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2" type="#_x0000_t75" style="width:79.5pt;height:31.8pt" o:ole="">
                  <v:imagedata r:id="rId12" o:title=""/>
                </v:shape>
                <o:OLEObject Type="Embed" ProgID="Equation.3" ShapeID="_x0000_i1032" DrawAspect="Content" ObjectID="_1491491060" r:id="rId20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0.0020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0.0001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3" type="#_x0000_t75" style="width:81.35pt;height:30.85pt" o:ole="">
                  <v:imagedata r:id="rId14" o:title=""/>
                </v:shape>
                <o:OLEObject Type="Embed" ProgID="Equation.3" ShapeID="_x0000_i1033" DrawAspect="Content" ObjectID="_1491491061" r:id="rId21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0.019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0.0018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4" type="#_x0000_t75" style="width:81.35pt;height:31.8pt" o:ole="">
                  <v:imagedata r:id="rId12" o:title=""/>
                </v:shape>
                <o:OLEObject Type="Embed" ProgID="Equation.3" ShapeID="_x0000_i1034" DrawAspect="Content" ObjectID="_1491491062" r:id="rId22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0.0016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0.0007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5" type="#_x0000_t75" style="width:81.35pt;height:30.85pt" o:ole="">
                  <v:imagedata r:id="rId14" o:title=""/>
                </v:shape>
                <o:OLEObject Type="Embed" ProgID="Equation.3" ShapeID="_x0000_i1035" DrawAspect="Content" ObjectID="_1491491063" r:id="rId23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6" type="#_x0000_t75" style="width:81.35pt;height:31.8pt" o:ole="">
                  <v:imagedata r:id="rId12" o:title=""/>
                </v:shape>
                <o:OLEObject Type="Embed" ProgID="Equation.3" ShapeID="_x0000_i1036" DrawAspect="Content" ObjectID="_1491491064" r:id="rId24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7" type="#_x0000_t75" style="width:84.15pt;height:31.8pt" o:ole="">
                  <v:imagedata r:id="rId14" o:title=""/>
                </v:shape>
                <o:OLEObject Type="Embed" ProgID="Equation.3" ShapeID="_x0000_i1037" DrawAspect="Content" ObjectID="_1491491065" r:id="rId25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8" type="#_x0000_t75" style="width:83.2pt;height:32.75pt" o:ole="">
                  <v:imagedata r:id="rId12" o:title=""/>
                </v:shape>
                <o:OLEObject Type="Embed" ProgID="Equation.3" ShapeID="_x0000_i1038" DrawAspect="Content" ObjectID="_1491491066" r:id="rId26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9" type="#_x0000_t75" style="width:83.2pt;height:31.8pt" o:ole="">
                  <v:imagedata r:id="rId14" o:title=""/>
                </v:shape>
                <o:OLEObject Type="Embed" ProgID="Equation.3" ShapeID="_x0000_i1039" DrawAspect="Content" ObjectID="_1491491067" r:id="rId27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0" type="#_x0000_t75" style="width:81.35pt;height:32.75pt" o:ole="">
                  <v:imagedata r:id="rId12" o:title=""/>
                </v:shape>
                <o:OLEObject Type="Embed" ProgID="Equation.3" ShapeID="_x0000_i1040" DrawAspect="Content" ObjectID="_1491491068" r:id="rId28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0.0027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1" type="#_x0000_t75" style="width:81.35pt;height:30.85pt" o:ole="">
                  <v:imagedata r:id="rId14" o:title=""/>
                </v:shape>
                <o:OLEObject Type="Embed" ProgID="Equation.3" ShapeID="_x0000_i1041" DrawAspect="Content" ObjectID="_1491491069" r:id="rId29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0.038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0.0029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560" w:dyaOrig="680">
                <v:shape id="_x0000_i1042" type="#_x0000_t75" style="width:74.8pt;height:32.75pt" o:ole="">
                  <v:imagedata r:id="rId30" o:title=""/>
                </v:shape>
                <o:OLEObject Type="Embed" ProgID="Equation.3" ShapeID="_x0000_i1042" DrawAspect="Content" ObjectID="_1491491070" r:id="rId31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241CF" w:rsidRPr="000019D4" w:rsidRDefault="00B241CF" w:rsidP="00B241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1CF" w:rsidRPr="000019D4" w:rsidRDefault="00B241CF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Toc193681798"/>
      <w:bookmarkStart w:id="1" w:name="_Toc193682030"/>
      <w:bookmarkStart w:id="2" w:name="_Toc246159825"/>
      <w:bookmarkStart w:id="3" w:name="_Toc246161656"/>
      <w:bookmarkStart w:id="4" w:name="_Toc248840788"/>
      <w:bookmarkStart w:id="5" w:name="_Toc248841027"/>
      <w:bookmarkStart w:id="6" w:name="_Toc248841185"/>
      <w:r w:rsidRPr="000019D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выполнению работы</w:t>
      </w:r>
      <w:bookmarkEnd w:id="0"/>
      <w:bookmarkEnd w:id="1"/>
      <w:bookmarkEnd w:id="2"/>
      <w:bookmarkEnd w:id="3"/>
      <w:bookmarkEnd w:id="4"/>
      <w:bookmarkEnd w:id="5"/>
      <w:bookmarkEnd w:id="6"/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Выражения для  ПФ  систем должны быть записаны для </w:t>
      </w:r>
      <w:r w:rsidRPr="000019D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конкретных</w:t>
      </w: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значений параметров.</w:t>
      </w:r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Графики логарифмических амплитудно-частотной и </w:t>
      </w:r>
      <w:proofErr w:type="spellStart"/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фазо-частотной</w:t>
      </w:r>
      <w:proofErr w:type="spellEnd"/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функций приводятся в едином масштабе, если по графикам нет возможности определения характерных частот условия устойчивости, необходимо изменить диапазон частот исследования и перестроить графики.</w:t>
      </w:r>
    </w:p>
    <w:p w:rsidR="00B241CF" w:rsidRPr="000019D4" w:rsidRDefault="000019D4" w:rsidP="000019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Переходную характеристику системы, 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АФЧХ и АЧХ замкнутой системы строить с помощью пакета </w:t>
      </w:r>
      <w:proofErr w:type="spellStart"/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Vissim</w:t>
      </w:r>
      <w:proofErr w:type="spellEnd"/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Расположение нулей и полюсов замкнутой системы на комплексной плоскости приводится на одном графике</w:t>
      </w:r>
      <w:r w:rsidR="000019D4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0019D4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ПРИМЕР ВЫПОЛНЕНИЯ ЗАДАНИЯ</w:t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задачах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анализа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известна структура системы, заданы все (как правило) параметры системы, и требуется оценить какое-либо ее статическое или динамическое свойство. К задачам анализа относятся: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Определение устойчивости.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Оценка качества управления системы.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Исходные данные для решения задачи анализа - САУ имеет </w:t>
      </w: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структуру</w:t>
      </w:r>
      <w:proofErr w:type="gram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изображенную на рис.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943225" cy="834390"/>
            <wp:effectExtent l="1905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Структурная схема системы управления</w:t>
      </w:r>
    </w:p>
    <w:p w:rsidR="000019D4" w:rsidRPr="000019D4" w:rsidRDefault="000019D4" w:rsidP="000019D4">
      <w:pPr>
        <w:spacing w:before="120"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Передаточные функции объекта управления и регулятора описываются следующими формулами: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40" w:dyaOrig="680">
          <v:shape id="_x0000_i1043" type="#_x0000_t75" style="width:178.6pt;height:36.45pt" o:ole="">
            <v:imagedata r:id="rId33" o:title=""/>
          </v:shape>
          <o:OLEObject Type="Embed" ProgID="Equation.3" ShapeID="_x0000_i1043" DrawAspect="Content" ObjectID="_1491491071" r:id="rId34"/>
        </w:object>
      </w: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740" w:dyaOrig="660">
          <v:shape id="_x0000_i1044" type="#_x0000_t75" style="width:79.5pt;height:29.9pt" o:ole="">
            <v:imagedata r:id="rId35" o:title=""/>
          </v:shape>
          <o:OLEObject Type="Embed" ProgID="Equation.3" ShapeID="_x0000_i1044" DrawAspect="Content" ObjectID="_1491491072" r:id="rId36"/>
        </w:object>
      </w:r>
    </w:p>
    <w:p w:rsidR="000019D4" w:rsidRPr="000019D4" w:rsidRDefault="000019D4" w:rsidP="000019D4">
      <w:pPr>
        <w:spacing w:after="0" w:line="36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системы заданы в табл.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907"/>
        <w:gridCol w:w="1907"/>
        <w:gridCol w:w="1907"/>
        <w:gridCol w:w="2240"/>
      </w:tblGrid>
      <w:tr w:rsidR="000019D4" w:rsidRPr="000019D4" w:rsidTr="00802647">
        <w:trPr>
          <w:trHeight w:val="350"/>
        </w:trPr>
        <w:tc>
          <w:tcPr>
            <w:tcW w:w="725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20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0019D4" w:rsidRPr="000019D4" w:rsidTr="00802647">
        <w:tc>
          <w:tcPr>
            <w:tcW w:w="725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0.55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0.07</w:t>
            </w:r>
          </w:p>
        </w:tc>
        <w:tc>
          <w:tcPr>
            <w:tcW w:w="120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0.0033</w:t>
            </w:r>
          </w:p>
        </w:tc>
      </w:tr>
    </w:tbl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Для оценки устойчивости систем автоматического управления используются частотные критерии: ЛАЧХ, ЛФЧХ, корни характеристического уравнения.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логарифмические амплитудную и фазовую частотную характеристики разомкнутой системы, определим запасы устойчивости, если система устойчива.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разомкнутой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581025"/>
            <wp:effectExtent l="19050" t="0" r="0" b="0"/>
            <wp:docPr id="110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замкнутой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561975"/>
            <wp:effectExtent l="19050" t="0" r="0" b="0"/>
            <wp:docPr id="110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логарифмических частотных характеристик в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proofErr w:type="spell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выделить блок звена (звеньев) и выбрать меню: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Analyze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--&gt;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Frequecy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Response</w:t>
      </w:r>
      <w:proofErr w:type="spell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рабочем пространстве появятся два графика, представляющие собой ЛАЧХ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)  и ЛФЧХ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ЛФЧХ определяем по формуле: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060" w:dyaOrig="380">
          <v:shape id="_x0000_i1045" type="#_x0000_t75" style="width:150.55pt;height:28.05pt" o:ole="">
            <v:imagedata r:id="rId39" o:title=""/>
          </v:shape>
          <o:OLEObject Type="Embed" ProgID="Equation.3" ShapeID="_x0000_i1045" DrawAspect="Content" ObjectID="_1491491073" r:id="rId40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ЛАЧХ определяем по формуле):</w:t>
      </w:r>
      <w:proofErr w:type="gramEnd"/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1660" w:dyaOrig="440">
          <v:shape id="_x0000_i1046" type="#_x0000_t75" style="width:106.6pt;height:28.05pt" o:ole="">
            <v:imagedata r:id="rId41" o:title=""/>
          </v:shape>
          <o:OLEObject Type="Embed" ProgID="Equation.3" ShapeID="_x0000_i1046" DrawAspect="Content" ObjectID="_1491491074" r:id="rId42"/>
        </w:objec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0"/>
            <wp:effectExtent l="19050" t="0" r="0" b="0"/>
            <wp:docPr id="11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3368" t="10220" r="-53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954591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="000019D4"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Гц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ЛФЧХ системы управления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581275"/>
            <wp:effectExtent l="19050" t="0" r="9525" b="0"/>
            <wp:docPr id="11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3848" t="9821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6"/>
          <w:szCs w:val="26"/>
          <w:lang w:eastAsia="ru-RU"/>
        </w:rPr>
        <w:t>Частота среза: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ЛАЧХ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устойчивости системы по частотным характеристикам должно выполнятся неравенство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  <w:r w:rsidRPr="000019D4">
        <w:rPr>
          <w:rFonts w:ascii="Times New Roman" w:eastAsia="Times New Roman" w:hAnsi="Times New Roman"/>
          <w:position w:val="-11"/>
          <w:sz w:val="28"/>
          <w:szCs w:val="28"/>
          <w:lang w:eastAsia="ru-RU"/>
        </w:rPr>
        <w:t>&lt;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Pr="000019D4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t xml:space="preserve">.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Заданная система является устойчивой, так как ЛАЧХ пересекает ось частот раньше, чем ЛФЧХ ось –180,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Для количественной оценки запасов устойчивости по частотным характеристикам используют два показателя: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запас устойчивости по амплитуде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460" w:dyaOrig="380">
          <v:shape id="_x0000_i1047" type="#_x0000_t75" style="width:77.6pt;height:20.55pt" o:ole="" fillcolor="window">
            <v:imagedata r:id="rId45" o:title=""/>
          </v:shape>
          <o:OLEObject Type="Embed" ProgID="Equation.3" ShapeID="_x0000_i1047" DrawAspect="Content" ObjectID="_1491491075" r:id="rId46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запас устойчивости по фазе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900" w:dyaOrig="380">
          <v:shape id="_x0000_i1048" type="#_x0000_t75" style="width:100.05pt;height:19.65pt" o:ole="" fillcolor="window">
            <v:imagedata r:id="rId47" o:title=""/>
          </v:shape>
          <o:OLEObject Type="Embed" ProgID="Equation.3" ShapeID="_x0000_i1048" DrawAspect="Content" ObjectID="_1491491076" r:id="rId48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фазе: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439" w:dyaOrig="320">
          <v:shape id="_x0000_i1049" type="#_x0000_t75" style="width:131.85pt;height:16.85pt" o:ole="">
            <v:imagedata r:id="rId49" o:title=""/>
          </v:shape>
          <o:OLEObject Type="Embed" ProgID="Equation.3" ShapeID="_x0000_i1049" DrawAspect="Content" ObjectID="_1491491077" r:id="rId50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амплитуде: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220" w:dyaOrig="320">
          <v:shape id="_x0000_i1050" type="#_x0000_t75" style="width:120.6pt;height:16.85pt" o:ole="">
            <v:imagedata r:id="rId51" o:title=""/>
          </v:shape>
          <o:OLEObject Type="Embed" ProgID="Equation.3" ShapeID="_x0000_i1050" DrawAspect="Content" ObjectID="_1491491078" r:id="rId52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полюса системы.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полюса системы – это корни характеристического уравнения замкнутой  системы, то они дают слагаемые в свободной составляющей реакции системы, а также позволяют судить об устойчивости системы.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отображения корней характеристического уравнения системы на комплексной плоскости необходимо  в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proofErr w:type="spell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выделить блок звена (звеньев) и выбрать меню: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Analyze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--&gt;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Root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Locus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152650"/>
            <wp:effectExtent l="19050" t="0" r="9525" b="0"/>
            <wp:docPr id="11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3688" t="9619" r="748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Расположение корней характеристического уравнения системы на плоскости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Видно, что все полюса системы лежат в отрицательной вещественной части комплексной плоскости, значит можно сделать </w:t>
      </w: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вывод</w:t>
      </w:r>
      <w:proofErr w:type="gram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система устойчива.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Среди показателей качества можно выделить прямые и косвенные. Прямые показатели качества определяются непосредственно по переходному процессу. Определим прямые показатели качества - перерегулирование и время регулирования.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переходной характеристики в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подключить к системе осциллограф, выбрав в меню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Blocks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Signal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Consumer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Plot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переходной характеристики системы показан на 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3081655" cy="2404745"/>
            <wp:effectExtent l="19050" t="0" r="4445" b="0"/>
            <wp:wrapSquare wrapText="bothSides"/>
            <wp:docPr id="4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73465" t="18750" r="3366" b="4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Переходная характеристика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Время регулирования - это минимальное время, по истечению которого выходная величина будет оставаться близкой к устойчивому значению с требуемой точностью: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820" w:dyaOrig="340">
          <v:shape id="_x0000_i1051" type="#_x0000_t75" style="width:161.75pt;height:19.65pt" o:ole="">
            <v:imagedata r:id="rId55" o:title=""/>
          </v:shape>
          <o:OLEObject Type="Embed" ProgID="Equation.3" ShapeID="_x0000_i1051" DrawAspect="Content" ObjectID="_1491491079" r:id="rId56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920" w:dyaOrig="360">
          <v:shape id="_x0000_i1052" type="#_x0000_t75" style="width:52.35pt;height:20.55pt" o:ole="">
            <v:imagedata r:id="rId57" o:title=""/>
          </v:shape>
          <o:OLEObject Type="Embed" ProgID="Equation.3" ShapeID="_x0000_i1052" DrawAspect="Content" ObjectID="_1491491080" r:id="rId58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Перерегулирование (σ) – это максимальное отклонение переходной характеристики от установившегося значения, выраженное в </w:t>
      </w: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%-</w:t>
      </w:r>
      <w:proofErr w:type="gram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ном отношении, к установившемуся значению[4]: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640" w:dyaOrig="700">
          <v:shape id="_x0000_i1053" type="#_x0000_t75" style="width:249.65pt;height:38.35pt" o:ole="">
            <v:imagedata r:id="rId59" o:title=""/>
          </v:shape>
          <o:OLEObject Type="Embed" ProgID="Equation.3" ShapeID="_x0000_i1053" DrawAspect="Content" ObjectID="_1491491081" r:id="rId60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Вычисленные показатели качества позволяют судить о приемлемом качестве управления системы. </w:t>
      </w:r>
    </w:p>
    <w:p w:rsidR="000019D4" w:rsidRPr="000019D4" w:rsidRDefault="000019D4" w:rsidP="0000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19D4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9D4" w:rsidRP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19D4">
        <w:rPr>
          <w:rFonts w:ascii="Times New Roman" w:hAnsi="Times New Roman"/>
          <w:b/>
          <w:caps/>
          <w:sz w:val="28"/>
          <w:szCs w:val="28"/>
        </w:rPr>
        <w:lastRenderedPageBreak/>
        <w:t>Библиографический список</w:t>
      </w:r>
    </w:p>
    <w:p w:rsidR="003B764E" w:rsidRPr="002355B6" w:rsidRDefault="003B764E" w:rsidP="00B24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i/>
          <w:sz w:val="28"/>
          <w:szCs w:val="28"/>
          <w:lang w:eastAsia="ru-RU"/>
        </w:rPr>
        <w:t>а) основная литература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1.* Никулин, Е.А. Основы теории автоматического управления / Е.А.Никулин.- СПб</w:t>
      </w:r>
      <w:proofErr w:type="gram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БХВ-Петербург, 2014.- 640с.- ISBN 978-5-94157-440-7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2.* Кочетков, В.П. Основы теории управления / В.П.Кочетков.- Ростов </w:t>
      </w:r>
      <w:proofErr w:type="spell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/Д.: Феникс.- 2012.-411 с.- ISBN 978-5-222-18884-2</w:t>
      </w:r>
    </w:p>
    <w:p w:rsid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Охорзин</w:t>
      </w:r>
      <w:proofErr w:type="spell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Теория управления / </w:t>
      </w:r>
      <w:proofErr w:type="spell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В.А.Охорзин</w:t>
      </w:r>
      <w:proofErr w:type="spell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, К.В.Сафронов.- СПб</w:t>
      </w:r>
      <w:proofErr w:type="gram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Лань, 2014.- 224 с.- ISBN 978- 5-8114-1592-2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2425D5">
        <w:rPr>
          <w:rFonts w:ascii="Times New Roman" w:eastAsia="Times New Roman" w:hAnsi="Times New Roman"/>
          <w:i/>
          <w:sz w:val="28"/>
          <w:szCs w:val="28"/>
          <w:lang w:eastAsia="ru-RU"/>
        </w:rPr>
        <w:t>) дополнительная литература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1.Кочетков, В. Основы теории управления /В. Кочетков.- Ростов н/Д.: Феникс, 2012.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2.Никулин, Е. Основы теории автоматического  управления  / Е.Никулин.- СПб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БХВ-Петербург, 2012.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3.*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Певзнер, Л.В. Теория систем управления: учеб. пособие / Л.В. Певзнер.- 2-е изд., </w:t>
      </w:r>
      <w:proofErr w:type="spell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. и доп.- СПб.: Издательство «Лань»,  2013.- 424с.: ил.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978-5-8114-1566-3.</w:t>
      </w:r>
      <w:proofErr w:type="gramEnd"/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4.*Яковенко, Г.Н, Теория  управления  регулярными системами [электронный ресурс]: учеб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особие/ Г.Н. Яковенко.- М.: БИНОМ. Лаборатория знаний, 2012.-264с.: ил.- </w:t>
      </w:r>
      <w:r w:rsidRPr="0037080E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978-5-9963-0789-0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 Первозванский, А.А. Курс теории автоматического управления: учеб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особие / А.А. Первозванский. - 2-е изд., стер.-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Лань, 2010.- 624с.- ISBN 978-5-8114-0995-2.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.*Коновалов, Б.И. Теория автоматического управления: учеб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Б.И. Коновалов, Ю.М. Лебедев. - 3-е изд., доп. и </w:t>
      </w:r>
      <w:proofErr w:type="spell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Лань, 2010.- 224с.- ISBN 978-5-8114-1034-3.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.*Мирошник, И.В. Теория автоматического управления. Линейные системы /И.В.Мирошник.-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Питер, 2005.-336 с.: ил.- ISBN 5-469-00350-7. 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.*Ерофеев, А.А. Теория автоматического управления: учебник для вузов / А.А. Ерофеев. – 2-е изд., доп. и </w:t>
      </w:r>
      <w:proofErr w:type="spell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 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Политехника, 2005.-302с.: ил.- ISBN 5-7325-0529-6. 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.Петров, Ю.П. Новые главы  теории управления и компьютерных вычислений / Ю.П. Петров.-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БХВ-Петербург, 2004.-192с.: ил.- ISBN 5-94157-452-5.</w:t>
      </w:r>
    </w:p>
    <w:p w:rsidR="00186161" w:rsidRPr="002355B6" w:rsidRDefault="00162D04" w:rsidP="00186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7" w:name="_GoBack"/>
      <w:bookmarkEnd w:id="7"/>
      <w:r w:rsidR="00186161" w:rsidRPr="002355B6">
        <w:rPr>
          <w:rFonts w:ascii="Times New Roman" w:hAnsi="Times New Roman"/>
          <w:sz w:val="28"/>
          <w:szCs w:val="28"/>
        </w:rPr>
        <w:t xml:space="preserve">. СТО </w:t>
      </w:r>
      <w:proofErr w:type="spellStart"/>
      <w:r w:rsidR="00186161" w:rsidRPr="002355B6">
        <w:rPr>
          <w:rFonts w:ascii="Times New Roman" w:hAnsi="Times New Roman"/>
          <w:sz w:val="28"/>
          <w:szCs w:val="28"/>
        </w:rPr>
        <w:t>ЮУрГУ</w:t>
      </w:r>
      <w:proofErr w:type="spellEnd"/>
      <w:r w:rsidR="00186161" w:rsidRPr="002355B6">
        <w:rPr>
          <w:rFonts w:ascii="Times New Roman" w:hAnsi="Times New Roman"/>
          <w:sz w:val="28"/>
          <w:szCs w:val="28"/>
        </w:rPr>
        <w:t xml:space="preserve"> </w:t>
      </w:r>
      <w:r w:rsidR="00186161">
        <w:rPr>
          <w:rFonts w:ascii="Times New Roman" w:hAnsi="Times New Roman"/>
          <w:sz w:val="28"/>
          <w:szCs w:val="28"/>
        </w:rPr>
        <w:t>21-</w:t>
      </w:r>
      <w:r w:rsidR="00186161" w:rsidRPr="002355B6">
        <w:rPr>
          <w:rFonts w:ascii="Times New Roman" w:hAnsi="Times New Roman"/>
          <w:sz w:val="28"/>
          <w:szCs w:val="28"/>
        </w:rPr>
        <w:t xml:space="preserve">2008 </w:t>
      </w:r>
      <w:r w:rsidR="00186161">
        <w:rPr>
          <w:rFonts w:ascii="Times New Roman" w:hAnsi="Times New Roman"/>
          <w:sz w:val="28"/>
          <w:szCs w:val="28"/>
        </w:rPr>
        <w:t>Курсовые и выпускные квалификационные работы</w:t>
      </w:r>
      <w:r w:rsidR="00186161" w:rsidRPr="002355B6">
        <w:rPr>
          <w:rFonts w:ascii="Times New Roman" w:hAnsi="Times New Roman"/>
          <w:sz w:val="28"/>
          <w:szCs w:val="28"/>
        </w:rPr>
        <w:t>. Общие требования к построению, содержанию и оформлению.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080E" w:rsidRPr="0037080E" w:rsidSect="00162D04">
      <w:footerReference w:type="default" r:id="rId61"/>
      <w:pgSz w:w="11906" w:h="16838"/>
      <w:pgMar w:top="993" w:right="850" w:bottom="426" w:left="1560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8A" w:rsidRDefault="00797D8A" w:rsidP="00162D04">
      <w:pPr>
        <w:spacing w:after="0" w:line="240" w:lineRule="auto"/>
      </w:pPr>
      <w:r>
        <w:separator/>
      </w:r>
    </w:p>
  </w:endnote>
  <w:endnote w:type="continuationSeparator" w:id="0">
    <w:p w:rsidR="00797D8A" w:rsidRDefault="00797D8A" w:rsidP="001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04" w:rsidRDefault="00162D04">
    <w:pPr>
      <w:pStyle w:val="aa"/>
      <w:jc w:val="center"/>
    </w:pPr>
  </w:p>
  <w:p w:rsidR="00162D04" w:rsidRDefault="00162D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3768"/>
      <w:docPartObj>
        <w:docPartGallery w:val="Page Numbers (Bottom of Page)"/>
        <w:docPartUnique/>
      </w:docPartObj>
    </w:sdtPr>
    <w:sdtContent>
      <w:p w:rsidR="00162D04" w:rsidRDefault="00954591">
        <w:pPr>
          <w:pStyle w:val="aa"/>
          <w:jc w:val="center"/>
        </w:pPr>
        <w:r>
          <w:fldChar w:fldCharType="begin"/>
        </w:r>
        <w:r w:rsidR="002425D5">
          <w:instrText xml:space="preserve"> PAGE   \* MERGEFORMAT </w:instrText>
        </w:r>
        <w:r>
          <w:fldChar w:fldCharType="separate"/>
        </w:r>
        <w:r w:rsidR="00FD2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D04" w:rsidRDefault="00162D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8A" w:rsidRDefault="00797D8A" w:rsidP="00162D04">
      <w:pPr>
        <w:spacing w:after="0" w:line="240" w:lineRule="auto"/>
      </w:pPr>
      <w:r>
        <w:separator/>
      </w:r>
    </w:p>
  </w:footnote>
  <w:footnote w:type="continuationSeparator" w:id="0">
    <w:p w:rsidR="00797D8A" w:rsidRDefault="00797D8A" w:rsidP="0016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22B7"/>
    <w:multiLevelType w:val="hybridMultilevel"/>
    <w:tmpl w:val="24FE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60CF"/>
    <w:multiLevelType w:val="hybridMultilevel"/>
    <w:tmpl w:val="C3A88DD6"/>
    <w:lvl w:ilvl="0" w:tplc="C2FCBB76">
      <w:start w:val="1"/>
      <w:numFmt w:val="decimal"/>
      <w:lvlText w:val="%1."/>
      <w:lvlJc w:val="left"/>
      <w:pPr>
        <w:tabs>
          <w:tab w:val="num" w:pos="720"/>
        </w:tabs>
        <w:ind w:left="57" w:firstLine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31A42"/>
    <w:multiLevelType w:val="hybridMultilevel"/>
    <w:tmpl w:val="9B7A2508"/>
    <w:lvl w:ilvl="0" w:tplc="9594D97C">
      <w:start w:val="1"/>
      <w:numFmt w:val="decimal"/>
      <w:lvlText w:val="%1."/>
      <w:lvlJc w:val="left"/>
      <w:pPr>
        <w:tabs>
          <w:tab w:val="num" w:pos="72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B34D2"/>
    <w:multiLevelType w:val="hybridMultilevel"/>
    <w:tmpl w:val="D8246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59D9"/>
    <w:multiLevelType w:val="hybridMultilevel"/>
    <w:tmpl w:val="2AD45D12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72"/>
    <w:rsid w:val="000019D4"/>
    <w:rsid w:val="000067CB"/>
    <w:rsid w:val="00087BB5"/>
    <w:rsid w:val="000D667A"/>
    <w:rsid w:val="000F2F28"/>
    <w:rsid w:val="000F3B2E"/>
    <w:rsid w:val="00162D04"/>
    <w:rsid w:val="00186161"/>
    <w:rsid w:val="001A5DA7"/>
    <w:rsid w:val="001B4133"/>
    <w:rsid w:val="001F01E9"/>
    <w:rsid w:val="002355B6"/>
    <w:rsid w:val="002410C2"/>
    <w:rsid w:val="002425D5"/>
    <w:rsid w:val="002541D2"/>
    <w:rsid w:val="00277BCB"/>
    <w:rsid w:val="00290E10"/>
    <w:rsid w:val="0029768A"/>
    <w:rsid w:val="002B3FEC"/>
    <w:rsid w:val="00302653"/>
    <w:rsid w:val="003277B9"/>
    <w:rsid w:val="00363FB1"/>
    <w:rsid w:val="0037080E"/>
    <w:rsid w:val="003B1452"/>
    <w:rsid w:val="003B764E"/>
    <w:rsid w:val="00414D05"/>
    <w:rsid w:val="00485B54"/>
    <w:rsid w:val="004979C8"/>
    <w:rsid w:val="004A4873"/>
    <w:rsid w:val="004D1815"/>
    <w:rsid w:val="004F0492"/>
    <w:rsid w:val="004F1116"/>
    <w:rsid w:val="00523B5B"/>
    <w:rsid w:val="005A370D"/>
    <w:rsid w:val="005E53DD"/>
    <w:rsid w:val="00617CC6"/>
    <w:rsid w:val="006627AB"/>
    <w:rsid w:val="006C4FBB"/>
    <w:rsid w:val="006C61AB"/>
    <w:rsid w:val="006D2831"/>
    <w:rsid w:val="006D30F7"/>
    <w:rsid w:val="006F6608"/>
    <w:rsid w:val="0075506D"/>
    <w:rsid w:val="00784504"/>
    <w:rsid w:val="00797D8A"/>
    <w:rsid w:val="007C70EA"/>
    <w:rsid w:val="00815F11"/>
    <w:rsid w:val="00825869"/>
    <w:rsid w:val="00891FC4"/>
    <w:rsid w:val="008B6515"/>
    <w:rsid w:val="008C6591"/>
    <w:rsid w:val="008D7DF9"/>
    <w:rsid w:val="008F57D7"/>
    <w:rsid w:val="009236E3"/>
    <w:rsid w:val="00954541"/>
    <w:rsid w:val="00954591"/>
    <w:rsid w:val="00A8764A"/>
    <w:rsid w:val="00B241CF"/>
    <w:rsid w:val="00B330ED"/>
    <w:rsid w:val="00C93779"/>
    <w:rsid w:val="00CD0672"/>
    <w:rsid w:val="00CD787F"/>
    <w:rsid w:val="00CE53A3"/>
    <w:rsid w:val="00D143E5"/>
    <w:rsid w:val="00D15747"/>
    <w:rsid w:val="00D33A52"/>
    <w:rsid w:val="00D470AD"/>
    <w:rsid w:val="00D479EA"/>
    <w:rsid w:val="00E01477"/>
    <w:rsid w:val="00E22A1F"/>
    <w:rsid w:val="00E63467"/>
    <w:rsid w:val="00E64175"/>
    <w:rsid w:val="00EB3395"/>
    <w:rsid w:val="00ED12CA"/>
    <w:rsid w:val="00EE763A"/>
    <w:rsid w:val="00EF4647"/>
    <w:rsid w:val="00F251B1"/>
    <w:rsid w:val="00FD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E53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53DD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D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image" Target="media/image13.wmf"/><Relationship Id="rId54" Type="http://schemas.openxmlformats.org/officeDocument/2006/relationships/image" Target="media/image21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image" Target="media/image7.png"/><Relationship Id="rId37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20.png"/><Relationship Id="rId58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8.wmf"/><Relationship Id="rId57" Type="http://schemas.openxmlformats.org/officeDocument/2006/relationships/image" Target="media/image23.wmf"/><Relationship Id="rId61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5.png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6.wmf"/><Relationship Id="rId35" Type="http://schemas.openxmlformats.org/officeDocument/2006/relationships/image" Target="media/image9.wmf"/><Relationship Id="rId43" Type="http://schemas.openxmlformats.org/officeDocument/2006/relationships/image" Target="media/image14.png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7.bin"/><Relationship Id="rId64" Type="http://schemas.microsoft.com/office/2007/relationships/stylesWithEffects" Target="stylesWithEffects.xml"/><Relationship Id="rId8" Type="http://schemas.openxmlformats.org/officeDocument/2006/relationships/image" Target="media/image2.png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8.wmf"/><Relationship Id="rId38" Type="http://schemas.openxmlformats.org/officeDocument/2006/relationships/image" Target="media/image11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Windows User</cp:lastModifiedBy>
  <cp:revision>2</cp:revision>
  <dcterms:created xsi:type="dcterms:W3CDTF">2015-04-25T15:17:00Z</dcterms:created>
  <dcterms:modified xsi:type="dcterms:W3CDTF">2015-04-25T15:17:00Z</dcterms:modified>
</cp:coreProperties>
</file>