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78" w:rsidRDefault="00D14278" w:rsidP="00D14278">
      <w:pPr>
        <w:tabs>
          <w:tab w:val="left" w:pos="720"/>
        </w:tabs>
        <w:ind w:firstLine="709"/>
        <w:jc w:val="both"/>
        <w:rPr>
          <w:sz w:val="24"/>
        </w:rPr>
      </w:pPr>
      <w:r>
        <w:rPr>
          <w:sz w:val="24"/>
        </w:rPr>
        <w:tab/>
      </w:r>
      <w:r w:rsidRPr="00800E06">
        <w:rPr>
          <w:bCs/>
          <w:i/>
          <w:iCs/>
          <w:sz w:val="24"/>
        </w:rPr>
        <w:t>Задача</w:t>
      </w:r>
      <w:r>
        <w:rPr>
          <w:bCs/>
          <w:i/>
          <w:iCs/>
          <w:sz w:val="24"/>
        </w:rPr>
        <w:t xml:space="preserve">. </w:t>
      </w:r>
      <w:r>
        <w:rPr>
          <w:sz w:val="24"/>
        </w:rPr>
        <w:t>Кондитерская фабрика располагает производственными мощностями для выпуска одного из пяти новых видов продукции (карамель, шоколадные батончики, под</w:t>
      </w:r>
      <w:r>
        <w:rPr>
          <w:sz w:val="24"/>
        </w:rPr>
        <w:t>а</w:t>
      </w:r>
      <w:r>
        <w:rPr>
          <w:sz w:val="24"/>
        </w:rPr>
        <w:t>рочные конфеты, кукурузные хлопья, жевательный мармелад). Ожидается, что на каждый вид продукции может быть три вида спроса. Таким образом, при разли</w:t>
      </w:r>
      <w:r>
        <w:rPr>
          <w:sz w:val="24"/>
        </w:rPr>
        <w:t>ч</w:t>
      </w:r>
      <w:r>
        <w:rPr>
          <w:sz w:val="24"/>
        </w:rPr>
        <w:t>ных уровнях спроса будут различные степени дохода. Необходимо определить наиболее выго</w:t>
      </w:r>
      <w:r>
        <w:rPr>
          <w:sz w:val="24"/>
        </w:rPr>
        <w:t>д</w:t>
      </w:r>
      <w:r>
        <w:rPr>
          <w:sz w:val="24"/>
        </w:rPr>
        <w:t>ный вариант решения (какой вид продукции наиболее выгодно выпускать), если вероятности выпуска каждого из данных видов ра</w:t>
      </w:r>
      <w:r>
        <w:rPr>
          <w:sz w:val="24"/>
        </w:rPr>
        <w:t>в</w:t>
      </w:r>
      <w:r>
        <w:rPr>
          <w:sz w:val="24"/>
        </w:rPr>
        <w:t>ны. Исходные данные об эффективности выпуска представлены в та</w:t>
      </w:r>
      <w:r>
        <w:rPr>
          <w:sz w:val="24"/>
        </w:rPr>
        <w:t>б</w:t>
      </w:r>
      <w:r>
        <w:rPr>
          <w:sz w:val="24"/>
        </w:rPr>
        <w:t>лице.</w:t>
      </w:r>
    </w:p>
    <w:p w:rsidR="00D14278" w:rsidRDefault="00D14278" w:rsidP="00D14278">
      <w:pPr>
        <w:pStyle w:val="3"/>
        <w:numPr>
          <w:ilvl w:val="0"/>
          <w:numId w:val="0"/>
        </w:numPr>
        <w:ind w:left="720"/>
      </w:pPr>
      <w: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44"/>
        <w:gridCol w:w="1944"/>
        <w:gridCol w:w="1944"/>
      </w:tblGrid>
      <w:tr w:rsidR="00D14278" w:rsidTr="00030612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3240" w:type="dxa"/>
          </w:tcPr>
          <w:p w:rsidR="00D14278" w:rsidRDefault="00D14278" w:rsidP="00030612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spacing w:before="0" w:after="0"/>
              <w:jc w:val="both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Вид продукции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Спрос 1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Спрос 2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Спрос 3</w:t>
            </w:r>
          </w:p>
        </w:tc>
      </w:tr>
      <w:tr w:rsidR="00D14278" w:rsidTr="0003061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40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Карамель </w:t>
            </w:r>
          </w:p>
        </w:tc>
        <w:tc>
          <w:tcPr>
            <w:tcW w:w="1944" w:type="dxa"/>
          </w:tcPr>
          <w:p w:rsidR="00D14278" w:rsidRDefault="00D14278" w:rsidP="00030612">
            <w:pPr>
              <w:pStyle w:val="xl2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720"/>
              </w:tabs>
              <w:spacing w:before="0" w:after="0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  <w:tr w:rsidR="00D14278" w:rsidTr="0003061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40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Шоколадные батонч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</w:tr>
      <w:tr w:rsidR="00D14278" w:rsidTr="0003061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40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Подарочные 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феты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14278" w:rsidTr="0003061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40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Кукурузные хл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пья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D14278" w:rsidTr="00030612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240" w:type="dxa"/>
          </w:tcPr>
          <w:p w:rsidR="00D14278" w:rsidRDefault="00D14278" w:rsidP="00030612">
            <w:pPr>
              <w:tabs>
                <w:tab w:val="left" w:pos="7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Жевательный марм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лад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944" w:type="dxa"/>
          </w:tcPr>
          <w:p w:rsidR="00D14278" w:rsidRDefault="00D14278" w:rsidP="00030612">
            <w:pPr>
              <w:tabs>
                <w:tab w:val="left" w:pos="7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</w:tbl>
    <w:p w:rsidR="00B64219" w:rsidRDefault="00D14278">
      <w:bookmarkStart w:id="0" w:name="_GoBack"/>
      <w:bookmarkEnd w:id="0"/>
    </w:p>
    <w:sectPr w:rsidR="00B6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B57D2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433"/>
        </w:tabs>
        <w:ind w:left="993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5C"/>
    <w:rsid w:val="00107CB3"/>
    <w:rsid w:val="002B3B5C"/>
    <w:rsid w:val="00D14278"/>
    <w:rsid w:val="00D5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F058F-C245-4AE6-8EC7-B33E16FD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14278"/>
    <w:pPr>
      <w:keepNext/>
      <w:numPr>
        <w:numId w:val="1"/>
      </w:numPr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278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14278"/>
    <w:pPr>
      <w:keepNext/>
      <w:numPr>
        <w:ilvl w:val="2"/>
        <w:numId w:val="1"/>
      </w:numPr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14278"/>
    <w:pPr>
      <w:keepNext/>
      <w:numPr>
        <w:ilvl w:val="3"/>
        <w:numId w:val="1"/>
      </w:numPr>
      <w:jc w:val="center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1427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2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2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142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142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427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xl25">
    <w:name w:val="xl25"/>
    <w:basedOn w:val="a"/>
    <w:rsid w:val="00D142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2015-04-16T16:20:00Z</dcterms:created>
  <dcterms:modified xsi:type="dcterms:W3CDTF">2015-04-16T16:20:00Z</dcterms:modified>
</cp:coreProperties>
</file>