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10" w:rsidRPr="0056122A" w:rsidRDefault="0083181A" w:rsidP="00A77A39">
      <w:pPr>
        <w:spacing w:line="360" w:lineRule="auto"/>
        <w:rPr>
          <w:b/>
          <w:sz w:val="24"/>
          <w:szCs w:val="24"/>
          <w:lang w:val="ru-RU"/>
        </w:rPr>
      </w:pPr>
      <w:r w:rsidRPr="0083181A">
        <w:rPr>
          <w:b/>
          <w:sz w:val="24"/>
          <w:szCs w:val="24"/>
          <w:lang w:val="ru-RU"/>
        </w:rPr>
        <w:t>Содержание</w:t>
      </w:r>
    </w:p>
    <w:p w:rsidR="00D762E7" w:rsidRPr="00EA4B33" w:rsidRDefault="00D762E7" w:rsidP="00D762E7">
      <w:pPr>
        <w:spacing w:line="360" w:lineRule="auto"/>
        <w:rPr>
          <w:sz w:val="24"/>
          <w:szCs w:val="24"/>
          <w:lang w:val="ru-RU"/>
        </w:rPr>
      </w:pPr>
    </w:p>
    <w:p w:rsidR="00EA4B33" w:rsidRPr="00EA4B33" w:rsidRDefault="0083181A" w:rsidP="00D762E7">
      <w:pPr>
        <w:spacing w:line="360" w:lineRule="auto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Введение……………………………………………………………………………………...….</w:t>
      </w:r>
      <w:r w:rsidR="00EA4B33">
        <w:rPr>
          <w:sz w:val="24"/>
          <w:szCs w:val="24"/>
          <w:lang w:val="ru-RU"/>
        </w:rPr>
        <w:t>.</w:t>
      </w:r>
      <w:r w:rsidRPr="0083181A">
        <w:rPr>
          <w:sz w:val="24"/>
          <w:szCs w:val="24"/>
          <w:lang w:val="ru-RU"/>
        </w:rPr>
        <w:t>3</w:t>
      </w:r>
    </w:p>
    <w:p w:rsidR="00EA4B33" w:rsidRPr="00EA4B33" w:rsidRDefault="0083181A" w:rsidP="00D762E7">
      <w:pPr>
        <w:spacing w:line="360" w:lineRule="auto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Глава 1. Анализ  российского энергетического рынка ………………………………..</w:t>
      </w:r>
      <w:r w:rsidR="002323BC">
        <w:rPr>
          <w:sz w:val="24"/>
          <w:szCs w:val="24"/>
          <w:lang w:val="ru-RU"/>
        </w:rPr>
        <w:t>..</w:t>
      </w:r>
      <w:r w:rsidR="00EA4B33">
        <w:rPr>
          <w:sz w:val="24"/>
          <w:szCs w:val="24"/>
          <w:lang w:val="ru-RU"/>
        </w:rPr>
        <w:t>.........</w:t>
      </w:r>
      <w:r w:rsidR="00BE7D9A">
        <w:rPr>
          <w:sz w:val="24"/>
          <w:szCs w:val="24"/>
          <w:lang w:val="ru-RU"/>
        </w:rPr>
        <w:t>4</w:t>
      </w:r>
    </w:p>
    <w:p w:rsidR="00EA4B33" w:rsidRPr="00EA4B33" w:rsidRDefault="0083181A" w:rsidP="00D762E7">
      <w:pPr>
        <w:spacing w:line="360" w:lineRule="auto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Глава 2. Проектное решение -  строительство  утилизационной теплоэлектроцентрали (УТЭЦ)……………………………………………………………</w:t>
      </w:r>
      <w:r w:rsidR="00EA4B33">
        <w:rPr>
          <w:sz w:val="24"/>
          <w:szCs w:val="24"/>
          <w:lang w:val="ru-RU"/>
        </w:rPr>
        <w:t>…………………………...</w:t>
      </w:r>
      <w:r w:rsidR="00BE7D9A">
        <w:rPr>
          <w:sz w:val="24"/>
          <w:szCs w:val="24"/>
          <w:lang w:val="ru-RU"/>
        </w:rPr>
        <w:t>...11</w:t>
      </w:r>
    </w:p>
    <w:p w:rsidR="00EA4B33" w:rsidRPr="00EA4B33" w:rsidRDefault="002323BC" w:rsidP="00D762E7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Производственная структура УТЭЦ…………………………………</w:t>
      </w:r>
      <w:r w:rsidR="0083181A" w:rsidRPr="0083181A">
        <w:rPr>
          <w:sz w:val="24"/>
          <w:szCs w:val="24"/>
          <w:lang w:val="ru-RU"/>
        </w:rPr>
        <w:t>………</w:t>
      </w:r>
      <w:r>
        <w:rPr>
          <w:sz w:val="24"/>
          <w:szCs w:val="24"/>
          <w:lang w:val="ru-RU"/>
        </w:rPr>
        <w:t>………</w:t>
      </w:r>
      <w:r w:rsidR="00EA4B33">
        <w:rPr>
          <w:sz w:val="24"/>
          <w:szCs w:val="24"/>
          <w:lang w:val="ru-RU"/>
        </w:rPr>
        <w:t>…..</w:t>
      </w:r>
      <w:r w:rsidR="00BE7D9A">
        <w:rPr>
          <w:sz w:val="24"/>
          <w:szCs w:val="24"/>
          <w:lang w:val="ru-RU"/>
        </w:rPr>
        <w:t>.12</w:t>
      </w:r>
    </w:p>
    <w:p w:rsidR="00EA4B33" w:rsidRPr="00EA4B33" w:rsidRDefault="002323BC" w:rsidP="00EA4B33">
      <w:pPr>
        <w:autoSpaceDE w:val="0"/>
        <w:autoSpaceDN w:val="0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 Организация производственного процесса в УТЭЦ и схема </w:t>
      </w:r>
    </w:p>
    <w:p w:rsidR="00EA4B33" w:rsidRPr="00EA4B33" w:rsidRDefault="002323BC" w:rsidP="00EA4B3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технологического процесса……………………………………………………</w:t>
      </w:r>
      <w:r w:rsidR="0083181A" w:rsidRPr="0083181A">
        <w:rPr>
          <w:sz w:val="24"/>
          <w:szCs w:val="24"/>
          <w:lang w:val="ru-RU"/>
        </w:rPr>
        <w:t>………</w:t>
      </w:r>
      <w:r w:rsidR="00EA4B33">
        <w:rPr>
          <w:sz w:val="24"/>
          <w:szCs w:val="24"/>
          <w:lang w:val="ru-RU"/>
        </w:rPr>
        <w:t>…</w:t>
      </w:r>
      <w:r w:rsidR="00BE7D9A">
        <w:rPr>
          <w:sz w:val="24"/>
          <w:szCs w:val="24"/>
          <w:lang w:val="ru-RU"/>
        </w:rPr>
        <w:t>……15</w:t>
      </w:r>
    </w:p>
    <w:p w:rsidR="00EA4B33" w:rsidRPr="00EA4B33" w:rsidRDefault="002323BC" w:rsidP="00EA4B33">
      <w:pPr>
        <w:autoSpaceDE w:val="0"/>
        <w:autoSpaceDN w:val="0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 Рабочий фонд времени основного оборудования и </w:t>
      </w:r>
    </w:p>
    <w:p w:rsidR="00EA4B33" w:rsidRPr="00EA4B33" w:rsidRDefault="002323BC" w:rsidP="00EA4B3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его производительность…………………………………………………………...</w:t>
      </w:r>
      <w:r w:rsidR="0083181A" w:rsidRPr="0083181A">
        <w:rPr>
          <w:sz w:val="24"/>
          <w:szCs w:val="24"/>
          <w:lang w:val="ru-RU"/>
        </w:rPr>
        <w:t>........</w:t>
      </w:r>
      <w:r w:rsidR="00EA4B33">
        <w:rPr>
          <w:sz w:val="24"/>
          <w:szCs w:val="24"/>
          <w:lang w:val="ru-RU"/>
        </w:rPr>
        <w:t>..</w:t>
      </w:r>
      <w:r w:rsidR="0083181A" w:rsidRPr="0083181A">
        <w:rPr>
          <w:sz w:val="24"/>
          <w:szCs w:val="24"/>
          <w:lang w:val="ru-RU"/>
        </w:rPr>
        <w:t>......</w:t>
      </w:r>
      <w:r w:rsidR="00BE7D9A">
        <w:rPr>
          <w:sz w:val="24"/>
          <w:szCs w:val="24"/>
          <w:lang w:val="ru-RU"/>
        </w:rPr>
        <w:t>...19</w:t>
      </w:r>
    </w:p>
    <w:p w:rsidR="00EA4B33" w:rsidRPr="00EA4B33" w:rsidRDefault="0083181A" w:rsidP="00EA4B33">
      <w:pPr>
        <w:spacing w:line="360" w:lineRule="auto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Глава 3.  Теоретические и методические основы анализа эффективности инвестиций...............................................................................................................</w:t>
      </w:r>
      <w:r w:rsidR="00EA4B33">
        <w:rPr>
          <w:sz w:val="24"/>
          <w:szCs w:val="24"/>
          <w:lang w:val="ru-RU"/>
        </w:rPr>
        <w:t>.</w:t>
      </w:r>
      <w:r w:rsidRPr="0083181A">
        <w:rPr>
          <w:sz w:val="24"/>
          <w:szCs w:val="24"/>
          <w:lang w:val="ru-RU"/>
        </w:rPr>
        <w:t>...............</w:t>
      </w:r>
      <w:r w:rsidR="00BE7D9A">
        <w:rPr>
          <w:sz w:val="24"/>
          <w:szCs w:val="24"/>
          <w:lang w:val="ru-RU"/>
        </w:rPr>
        <w:t>....22</w:t>
      </w:r>
    </w:p>
    <w:p w:rsidR="00EA4B33" w:rsidRPr="00EA4B33" w:rsidRDefault="009C01A5" w:rsidP="00EA4B3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3.1.Анализ эффективности инвестиций в строительство </w:t>
      </w:r>
      <w:r w:rsidR="002323BC">
        <w:rPr>
          <w:sz w:val="24"/>
          <w:szCs w:val="24"/>
          <w:lang w:val="ru-RU"/>
        </w:rPr>
        <w:t>………</w:t>
      </w:r>
      <w:r>
        <w:rPr>
          <w:sz w:val="24"/>
          <w:szCs w:val="24"/>
          <w:lang w:val="ru-RU"/>
        </w:rPr>
        <w:t>.......................</w:t>
      </w:r>
      <w:r w:rsidR="00EA4B33">
        <w:rPr>
          <w:sz w:val="24"/>
          <w:szCs w:val="24"/>
          <w:lang w:val="ru-RU"/>
        </w:rPr>
        <w:t>…...</w:t>
      </w:r>
      <w:r w:rsidR="002323BC">
        <w:rPr>
          <w:sz w:val="24"/>
          <w:szCs w:val="24"/>
          <w:lang w:val="ru-RU"/>
        </w:rPr>
        <w:t>….</w:t>
      </w:r>
      <w:r w:rsidR="0083181A" w:rsidRPr="0083181A">
        <w:rPr>
          <w:sz w:val="24"/>
          <w:szCs w:val="24"/>
          <w:lang w:val="ru-RU"/>
        </w:rPr>
        <w:t>……</w:t>
      </w:r>
      <w:r w:rsidR="00BE7D9A">
        <w:rPr>
          <w:sz w:val="24"/>
          <w:szCs w:val="24"/>
          <w:lang w:val="ru-RU"/>
        </w:rPr>
        <w:t>22</w:t>
      </w:r>
    </w:p>
    <w:p w:rsidR="00EA4B33" w:rsidRPr="00EA4B33" w:rsidRDefault="009C01A5" w:rsidP="00EA4B33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</w:t>
      </w:r>
      <w:r w:rsidR="002323B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Анализ себестоимости продукции до и после реализации проекта </w:t>
      </w:r>
      <w:r w:rsidR="002323BC">
        <w:rPr>
          <w:sz w:val="24"/>
          <w:szCs w:val="24"/>
          <w:lang w:val="ru-RU"/>
        </w:rPr>
        <w:t>………</w:t>
      </w:r>
      <w:r w:rsidR="00EA4B33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.......</w:t>
      </w:r>
      <w:r w:rsidR="00EA4B33">
        <w:rPr>
          <w:sz w:val="24"/>
          <w:szCs w:val="24"/>
          <w:lang w:val="ru-RU"/>
        </w:rPr>
        <w:t>….</w:t>
      </w:r>
      <w:r w:rsidR="00BE7D9A">
        <w:rPr>
          <w:sz w:val="24"/>
          <w:szCs w:val="24"/>
          <w:lang w:val="ru-RU"/>
        </w:rPr>
        <w:t>....27</w:t>
      </w:r>
    </w:p>
    <w:p w:rsidR="0083181A" w:rsidRPr="0083181A" w:rsidRDefault="0083181A" w:rsidP="0083181A">
      <w:pPr>
        <w:autoSpaceDE w:val="0"/>
        <w:autoSpaceDN w:val="0"/>
        <w:spacing w:line="360" w:lineRule="auto"/>
        <w:ind w:left="993" w:hanging="993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Глава 4. Оценка  экономической эффективности строительства УТЭЦ………</w:t>
      </w:r>
      <w:r w:rsidR="00EA4B33">
        <w:rPr>
          <w:sz w:val="24"/>
          <w:szCs w:val="24"/>
          <w:lang w:val="ru-RU"/>
        </w:rPr>
        <w:t>…….</w:t>
      </w:r>
      <w:r w:rsidR="00BE7D9A">
        <w:rPr>
          <w:sz w:val="24"/>
          <w:szCs w:val="24"/>
          <w:lang w:val="ru-RU"/>
        </w:rPr>
        <w:t>……...31</w:t>
      </w:r>
    </w:p>
    <w:p w:rsidR="00C769AB" w:rsidRPr="00EA4B33" w:rsidRDefault="0083181A" w:rsidP="00D762E7">
      <w:pPr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 xml:space="preserve">Глава 5. Разработка мероприятий по повышению </w:t>
      </w:r>
      <w:proofErr w:type="gramStart"/>
      <w:r w:rsidRPr="0083181A">
        <w:rPr>
          <w:sz w:val="24"/>
          <w:szCs w:val="24"/>
          <w:lang w:val="ru-RU"/>
        </w:rPr>
        <w:t>экологической</w:t>
      </w:r>
      <w:proofErr w:type="gramEnd"/>
      <w:r w:rsidRPr="0083181A">
        <w:rPr>
          <w:sz w:val="24"/>
          <w:szCs w:val="24"/>
          <w:lang w:val="ru-RU"/>
        </w:rPr>
        <w:t xml:space="preserve"> </w:t>
      </w:r>
    </w:p>
    <w:p w:rsidR="00A77A39" w:rsidRPr="00EA4B33" w:rsidRDefault="00575051" w:rsidP="00575051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="0083181A" w:rsidRPr="0083181A">
        <w:rPr>
          <w:sz w:val="24"/>
          <w:szCs w:val="24"/>
          <w:lang w:val="ru-RU"/>
        </w:rPr>
        <w:t>ффективности/безопасности  предприятия……………………………</w:t>
      </w:r>
      <w:r w:rsidR="00EA4B33">
        <w:rPr>
          <w:sz w:val="24"/>
          <w:szCs w:val="24"/>
          <w:lang w:val="ru-RU"/>
        </w:rPr>
        <w:t>.</w:t>
      </w:r>
      <w:r w:rsidR="0083181A" w:rsidRPr="0083181A">
        <w:rPr>
          <w:sz w:val="24"/>
          <w:szCs w:val="24"/>
          <w:lang w:val="ru-RU"/>
        </w:rPr>
        <w:t>..………</w:t>
      </w:r>
      <w:r w:rsidR="0031360B">
        <w:rPr>
          <w:sz w:val="24"/>
          <w:szCs w:val="24"/>
          <w:lang w:val="ru-RU"/>
        </w:rPr>
        <w:t>.</w:t>
      </w:r>
      <w:r w:rsidR="0083181A" w:rsidRPr="0083181A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.</w:t>
      </w:r>
      <w:r w:rsidR="0083181A" w:rsidRPr="0083181A">
        <w:rPr>
          <w:sz w:val="24"/>
          <w:szCs w:val="24"/>
          <w:lang w:val="ru-RU"/>
        </w:rPr>
        <w:t>…........34</w:t>
      </w:r>
    </w:p>
    <w:p w:rsidR="00A77A39" w:rsidRPr="00EA4B33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Заключение................................</w:t>
      </w:r>
      <w:r w:rsidR="00EA4B33">
        <w:rPr>
          <w:sz w:val="24"/>
          <w:szCs w:val="24"/>
          <w:lang w:val="ru-RU"/>
        </w:rPr>
        <w:t>.......</w:t>
      </w:r>
      <w:r w:rsidRPr="0083181A">
        <w:rPr>
          <w:sz w:val="24"/>
          <w:szCs w:val="24"/>
          <w:lang w:val="ru-RU"/>
        </w:rPr>
        <w:t>............................................</w:t>
      </w:r>
      <w:r w:rsidR="00575051">
        <w:rPr>
          <w:sz w:val="24"/>
          <w:szCs w:val="24"/>
          <w:lang w:val="ru-RU"/>
        </w:rPr>
        <w:t>..</w:t>
      </w:r>
      <w:r w:rsidRPr="0083181A">
        <w:rPr>
          <w:sz w:val="24"/>
          <w:szCs w:val="24"/>
          <w:lang w:val="ru-RU"/>
        </w:rPr>
        <w:t>...........................</w:t>
      </w:r>
      <w:r w:rsidR="00575051">
        <w:rPr>
          <w:sz w:val="24"/>
          <w:szCs w:val="24"/>
          <w:lang w:val="ru-RU"/>
        </w:rPr>
        <w:t>......</w:t>
      </w:r>
      <w:r w:rsidRPr="0083181A">
        <w:rPr>
          <w:sz w:val="24"/>
          <w:szCs w:val="24"/>
          <w:lang w:val="ru-RU"/>
        </w:rPr>
        <w:t>...</w:t>
      </w:r>
      <w:r w:rsidR="00575051">
        <w:rPr>
          <w:sz w:val="24"/>
          <w:szCs w:val="24"/>
          <w:lang w:val="ru-RU"/>
        </w:rPr>
        <w:t>.</w:t>
      </w:r>
      <w:r w:rsidR="00BE7D9A">
        <w:rPr>
          <w:sz w:val="24"/>
          <w:szCs w:val="24"/>
          <w:lang w:val="ru-RU"/>
        </w:rPr>
        <w:t>.........39</w:t>
      </w:r>
    </w:p>
    <w:p w:rsidR="00575051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Список литературы................................................................................................</w:t>
      </w:r>
      <w:r w:rsidR="00575051">
        <w:rPr>
          <w:sz w:val="24"/>
          <w:szCs w:val="24"/>
          <w:lang w:val="ru-RU"/>
        </w:rPr>
        <w:t>..................</w:t>
      </w:r>
      <w:r w:rsidR="00BE7D9A">
        <w:rPr>
          <w:sz w:val="24"/>
          <w:szCs w:val="24"/>
          <w:lang w:val="ru-RU"/>
        </w:rPr>
        <w:t>....40</w:t>
      </w:r>
    </w:p>
    <w:p w:rsidR="00E66410" w:rsidRPr="00EA4B33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Приложение 1……………………………………………………………………</w:t>
      </w:r>
      <w:r w:rsidR="00575051">
        <w:rPr>
          <w:sz w:val="24"/>
          <w:szCs w:val="24"/>
          <w:lang w:val="ru-RU"/>
        </w:rPr>
        <w:t>…………</w:t>
      </w:r>
      <w:r w:rsidR="001E616C">
        <w:rPr>
          <w:sz w:val="24"/>
          <w:szCs w:val="24"/>
          <w:lang w:val="ru-RU"/>
        </w:rPr>
        <w:t>.......41</w:t>
      </w:r>
    </w:p>
    <w:p w:rsidR="00C769AB" w:rsidRPr="00EA4B33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Приложение 2……………………………………………………………………</w:t>
      </w:r>
      <w:r w:rsidR="00575051">
        <w:rPr>
          <w:sz w:val="24"/>
          <w:szCs w:val="24"/>
          <w:lang w:val="ru-RU"/>
        </w:rPr>
        <w:t>………....</w:t>
      </w:r>
      <w:r w:rsidR="001E616C">
        <w:rPr>
          <w:sz w:val="24"/>
          <w:szCs w:val="24"/>
          <w:lang w:val="ru-RU"/>
        </w:rPr>
        <w:t>.......43</w:t>
      </w:r>
    </w:p>
    <w:p w:rsidR="00C769AB" w:rsidRPr="00EA4B33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Приложение 3……………………………………………………………………</w:t>
      </w:r>
      <w:r w:rsidR="00575051">
        <w:rPr>
          <w:sz w:val="24"/>
          <w:szCs w:val="24"/>
          <w:lang w:val="ru-RU"/>
        </w:rPr>
        <w:t>………….</w:t>
      </w:r>
      <w:r w:rsidR="001E616C">
        <w:rPr>
          <w:sz w:val="24"/>
          <w:szCs w:val="24"/>
          <w:lang w:val="ru-RU"/>
        </w:rPr>
        <w:t>......45</w:t>
      </w:r>
    </w:p>
    <w:p w:rsidR="00C769AB" w:rsidRPr="00EA4B33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Приложение 4……………………………………………………………………</w:t>
      </w:r>
      <w:r w:rsidR="00575051">
        <w:rPr>
          <w:sz w:val="24"/>
          <w:szCs w:val="24"/>
          <w:lang w:val="ru-RU"/>
        </w:rPr>
        <w:t>………….</w:t>
      </w:r>
      <w:r w:rsidR="001E616C">
        <w:rPr>
          <w:sz w:val="24"/>
          <w:szCs w:val="24"/>
          <w:lang w:val="ru-RU"/>
        </w:rPr>
        <w:t>......47</w:t>
      </w:r>
    </w:p>
    <w:p w:rsidR="00C769AB" w:rsidRPr="00EA4B33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Приложение 5…………………………………………………………………</w:t>
      </w:r>
      <w:r w:rsidR="00575051">
        <w:rPr>
          <w:sz w:val="24"/>
          <w:szCs w:val="24"/>
          <w:lang w:val="ru-RU"/>
        </w:rPr>
        <w:t>…………</w:t>
      </w:r>
      <w:r w:rsidR="001E616C">
        <w:rPr>
          <w:sz w:val="24"/>
          <w:szCs w:val="24"/>
          <w:lang w:val="ru-RU"/>
        </w:rPr>
        <w:t>….......49</w:t>
      </w:r>
    </w:p>
    <w:p w:rsidR="00C769AB" w:rsidRPr="00EA4B33" w:rsidRDefault="0083181A" w:rsidP="00575051">
      <w:pPr>
        <w:tabs>
          <w:tab w:val="left" w:pos="8647"/>
          <w:tab w:val="left" w:pos="9354"/>
          <w:tab w:val="left" w:pos="9781"/>
          <w:tab w:val="left" w:pos="9923"/>
        </w:tabs>
        <w:spacing w:line="360" w:lineRule="auto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Приложение 6…………………………………………………………………</w:t>
      </w:r>
      <w:r w:rsidR="00575051">
        <w:rPr>
          <w:sz w:val="24"/>
          <w:szCs w:val="24"/>
          <w:lang w:val="ru-RU"/>
        </w:rPr>
        <w:t>…………</w:t>
      </w:r>
      <w:r w:rsidR="001E616C">
        <w:rPr>
          <w:sz w:val="24"/>
          <w:szCs w:val="24"/>
          <w:lang w:val="ru-RU"/>
        </w:rPr>
        <w:t>….......51</w:t>
      </w:r>
    </w:p>
    <w:p w:rsidR="00E66410" w:rsidRPr="00895208" w:rsidRDefault="00E66410" w:rsidP="00E66410">
      <w:pPr>
        <w:pageBreakBefore/>
        <w:spacing w:line="360" w:lineRule="auto"/>
        <w:rPr>
          <w:b/>
          <w:sz w:val="24"/>
          <w:szCs w:val="24"/>
          <w:lang w:val="ru-RU"/>
        </w:rPr>
      </w:pPr>
      <w:r w:rsidRPr="00895208">
        <w:rPr>
          <w:b/>
          <w:sz w:val="24"/>
          <w:szCs w:val="24"/>
          <w:lang w:val="ru-RU"/>
        </w:rPr>
        <w:lastRenderedPageBreak/>
        <w:t>Введение</w:t>
      </w:r>
    </w:p>
    <w:p w:rsidR="00E66410" w:rsidRPr="00895208" w:rsidRDefault="00E66410" w:rsidP="00E66410">
      <w:pPr>
        <w:spacing w:line="360" w:lineRule="auto"/>
        <w:jc w:val="both"/>
        <w:rPr>
          <w:sz w:val="24"/>
          <w:szCs w:val="24"/>
          <w:lang w:val="ru-RU"/>
        </w:rPr>
      </w:pPr>
    </w:p>
    <w:p w:rsidR="00E66410" w:rsidRPr="00895208" w:rsidRDefault="00E66410" w:rsidP="00E66410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 xml:space="preserve">Одним из главных направлений энергетической политики является совершенствование системы управления инвестиционной деятельностью. Но в связи с децентрализацией управления и снижением централизованных государственных инвестиций решение данной проблемы должно базироваться на самостоятельном построении инвестиционной политики </w:t>
      </w:r>
      <w:proofErr w:type="spellStart"/>
      <w:r w:rsidRPr="00895208">
        <w:rPr>
          <w:sz w:val="24"/>
          <w:szCs w:val="24"/>
          <w:lang w:val="ru-RU"/>
        </w:rPr>
        <w:t>энергопредприятия</w:t>
      </w:r>
      <w:proofErr w:type="spellEnd"/>
      <w:r w:rsidRPr="00895208">
        <w:rPr>
          <w:sz w:val="24"/>
          <w:szCs w:val="24"/>
          <w:lang w:val="ru-RU"/>
        </w:rPr>
        <w:t xml:space="preserve"> (</w:t>
      </w:r>
      <w:proofErr w:type="spellStart"/>
      <w:r w:rsidRPr="00895208">
        <w:rPr>
          <w:sz w:val="24"/>
          <w:szCs w:val="24"/>
          <w:lang w:val="ru-RU"/>
        </w:rPr>
        <w:t>энергокомпании</w:t>
      </w:r>
      <w:proofErr w:type="spellEnd"/>
      <w:r w:rsidRPr="00895208">
        <w:rPr>
          <w:sz w:val="24"/>
          <w:szCs w:val="24"/>
          <w:lang w:val="ru-RU"/>
        </w:rPr>
        <w:t>).</w:t>
      </w:r>
    </w:p>
    <w:p w:rsidR="00E66410" w:rsidRPr="00895208" w:rsidRDefault="00E66410" w:rsidP="00E66410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 xml:space="preserve">Особенно актуальна проблема обеспечения реализации инвестиционного проекта реконструкции и строительства тепловых электростанций, которые являются важнейшим источником тепло- и электроснабжения. </w:t>
      </w:r>
    </w:p>
    <w:p w:rsidR="00E66410" w:rsidRPr="00895208" w:rsidRDefault="00E66410" w:rsidP="00E66410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 xml:space="preserve">В настоящий момент, когда управление инвестиционными энергетическими проектами переходит на иную качественную ступень с использованием современной теории </w:t>
      </w:r>
      <w:r w:rsidR="0021602F">
        <w:rPr>
          <w:sz w:val="24"/>
          <w:szCs w:val="24"/>
          <w:lang w:val="ru-RU"/>
        </w:rPr>
        <w:t>у</w:t>
      </w:r>
      <w:r w:rsidRPr="00895208">
        <w:rPr>
          <w:sz w:val="24"/>
          <w:szCs w:val="24"/>
          <w:lang w:val="ru-RU"/>
        </w:rPr>
        <w:t xml:space="preserve">правления проектами, </w:t>
      </w:r>
      <w:proofErr w:type="gramStart"/>
      <w:r w:rsidRPr="00895208">
        <w:rPr>
          <w:sz w:val="24"/>
          <w:szCs w:val="24"/>
          <w:lang w:val="ru-RU"/>
        </w:rPr>
        <w:t>все</w:t>
      </w:r>
      <w:proofErr w:type="gramEnd"/>
      <w:r w:rsidRPr="00895208">
        <w:rPr>
          <w:sz w:val="24"/>
          <w:szCs w:val="24"/>
          <w:lang w:val="ru-RU"/>
        </w:rPr>
        <w:t xml:space="preserve"> более отдаляясь от централизованных директивных методов управления инвестиционной деятельностью, необходимы углубленные исследования путей обеспечения реализации инвестиционного проекта в энергетике.</w:t>
      </w:r>
    </w:p>
    <w:p w:rsidR="00E66410" w:rsidRPr="00E66410" w:rsidRDefault="00E66410" w:rsidP="00E66410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 xml:space="preserve">Цель работы – </w:t>
      </w:r>
      <w:r w:rsidR="00995E3B">
        <w:rPr>
          <w:sz w:val="24"/>
          <w:szCs w:val="24"/>
          <w:lang w:val="ru-RU"/>
        </w:rPr>
        <w:t>анализ</w:t>
      </w:r>
      <w:r w:rsidRPr="00895208">
        <w:rPr>
          <w:sz w:val="24"/>
          <w:szCs w:val="24"/>
          <w:lang w:val="ru-RU"/>
        </w:rPr>
        <w:t xml:space="preserve"> эффективност</w:t>
      </w:r>
      <w:r w:rsidR="00995E3B">
        <w:rPr>
          <w:sz w:val="24"/>
          <w:szCs w:val="24"/>
          <w:lang w:val="ru-RU"/>
        </w:rPr>
        <w:t>и</w:t>
      </w:r>
      <w:r w:rsidRPr="00895208">
        <w:rPr>
          <w:sz w:val="24"/>
          <w:szCs w:val="24"/>
          <w:lang w:val="ru-RU"/>
        </w:rPr>
        <w:t xml:space="preserve"> инвестиционных инвестиций</w:t>
      </w:r>
      <w:r w:rsidR="00995E3B">
        <w:rPr>
          <w:sz w:val="24"/>
          <w:szCs w:val="24"/>
          <w:lang w:val="ru-RU"/>
        </w:rPr>
        <w:t xml:space="preserve"> группы МНЛК на примере</w:t>
      </w:r>
      <w:r w:rsidRPr="00895208">
        <w:rPr>
          <w:sz w:val="24"/>
          <w:szCs w:val="24"/>
          <w:lang w:val="ru-RU"/>
        </w:rPr>
        <w:t xml:space="preserve"> строительств</w:t>
      </w:r>
      <w:r w:rsidR="00995E3B">
        <w:rPr>
          <w:sz w:val="24"/>
          <w:szCs w:val="24"/>
          <w:lang w:val="ru-RU"/>
        </w:rPr>
        <w:t>а</w:t>
      </w:r>
      <w:r w:rsidRPr="00895208">
        <w:rPr>
          <w:sz w:val="24"/>
          <w:szCs w:val="24"/>
          <w:lang w:val="ru-RU"/>
        </w:rPr>
        <w:t xml:space="preserve"> утилизационной теплоэлектроцентрали (УТЭЦ) установленной мощностью 150 МВт для ОАО НЛМК</w:t>
      </w:r>
      <w:r>
        <w:rPr>
          <w:sz w:val="24"/>
          <w:szCs w:val="24"/>
          <w:lang w:val="ru-RU"/>
        </w:rPr>
        <w:t xml:space="preserve"> и </w:t>
      </w:r>
      <w:r w:rsidRPr="00E66410">
        <w:rPr>
          <w:sz w:val="24"/>
          <w:szCs w:val="24"/>
          <w:lang w:val="ru-RU"/>
        </w:rPr>
        <w:t xml:space="preserve"> разрабо</w:t>
      </w:r>
      <w:r w:rsidR="0021602F">
        <w:rPr>
          <w:sz w:val="24"/>
          <w:szCs w:val="24"/>
          <w:lang w:val="ru-RU"/>
        </w:rPr>
        <w:t>тать</w:t>
      </w:r>
      <w:r w:rsidRPr="00E66410">
        <w:rPr>
          <w:sz w:val="24"/>
          <w:szCs w:val="24"/>
          <w:lang w:val="ru-RU"/>
        </w:rPr>
        <w:t xml:space="preserve"> мероприяти</w:t>
      </w:r>
      <w:r w:rsidR="0021602F">
        <w:rPr>
          <w:sz w:val="24"/>
          <w:szCs w:val="24"/>
          <w:lang w:val="ru-RU"/>
        </w:rPr>
        <w:t>я</w:t>
      </w:r>
      <w:r w:rsidRPr="00E66410">
        <w:rPr>
          <w:sz w:val="24"/>
          <w:szCs w:val="24"/>
          <w:lang w:val="ru-RU"/>
        </w:rPr>
        <w:t xml:space="preserve"> по повышению экологической эффективности предприятия</w:t>
      </w:r>
      <w:r>
        <w:rPr>
          <w:sz w:val="24"/>
          <w:szCs w:val="24"/>
          <w:lang w:val="ru-RU"/>
        </w:rPr>
        <w:t>.</w:t>
      </w:r>
    </w:p>
    <w:p w:rsidR="00E66410" w:rsidRPr="00895208" w:rsidRDefault="00E66410" w:rsidP="00E66410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>Для достижения поставленной цели необходимо решить следующие задачи:</w:t>
      </w:r>
    </w:p>
    <w:p w:rsidR="0021602F" w:rsidRDefault="0021602F" w:rsidP="00E66410">
      <w:pPr>
        <w:pStyle w:val="a5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Проанализировать конъюнктуру и перспек</w:t>
      </w:r>
      <w:r w:rsidR="00515BB7">
        <w:rPr>
          <w:sz w:val="24"/>
          <w:szCs w:val="24"/>
          <w:lang w:val="ru-RU"/>
        </w:rPr>
        <w:t>ти</w:t>
      </w:r>
      <w:r>
        <w:rPr>
          <w:sz w:val="24"/>
          <w:szCs w:val="24"/>
          <w:lang w:val="ru-RU"/>
        </w:rPr>
        <w:t>вы развития российского рынка</w:t>
      </w:r>
      <w:r w:rsidR="00EA4B33">
        <w:rPr>
          <w:sz w:val="24"/>
          <w:szCs w:val="24"/>
          <w:lang w:val="ru-RU"/>
        </w:rPr>
        <w:t>.</w:t>
      </w:r>
    </w:p>
    <w:p w:rsidR="00E66410" w:rsidRPr="00895208" w:rsidRDefault="00E66410" w:rsidP="00E66410">
      <w:pPr>
        <w:pStyle w:val="a5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 xml:space="preserve">Изучить теоретические </w:t>
      </w:r>
      <w:r w:rsidR="00515BB7">
        <w:rPr>
          <w:sz w:val="24"/>
          <w:szCs w:val="24"/>
          <w:lang w:val="ru-RU"/>
        </w:rPr>
        <w:t xml:space="preserve">и методологические </w:t>
      </w:r>
      <w:r w:rsidRPr="00895208">
        <w:rPr>
          <w:sz w:val="24"/>
          <w:szCs w:val="24"/>
          <w:lang w:val="ru-RU"/>
        </w:rPr>
        <w:t>основы анализа эффективности инвестиций.</w:t>
      </w:r>
    </w:p>
    <w:p w:rsidR="00E66410" w:rsidRPr="00895208" w:rsidRDefault="00E66410" w:rsidP="00E66410">
      <w:pPr>
        <w:pStyle w:val="a5"/>
        <w:numPr>
          <w:ilvl w:val="0"/>
          <w:numId w:val="24"/>
        </w:numPr>
        <w:spacing w:line="360" w:lineRule="auto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>Обосновать эффективность инвестиций в строительство УТЭЦ</w:t>
      </w:r>
      <w:r w:rsidR="00EA4B33">
        <w:rPr>
          <w:sz w:val="24"/>
          <w:szCs w:val="24"/>
          <w:lang w:val="ru-RU"/>
        </w:rPr>
        <w:t>.</w:t>
      </w:r>
    </w:p>
    <w:p w:rsidR="00E66410" w:rsidRPr="00895208" w:rsidRDefault="00E66410" w:rsidP="00E6641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>В качестве объекта исследования в данной работе выступает УТЭЦ, а предметом исследования являются инвестиции в строительство УТЭЦ.</w:t>
      </w:r>
    </w:p>
    <w:p w:rsidR="00E66410" w:rsidRPr="00895208" w:rsidRDefault="00E66410" w:rsidP="00E6641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895208">
        <w:rPr>
          <w:sz w:val="24"/>
          <w:szCs w:val="24"/>
          <w:lang w:val="ru-RU"/>
        </w:rPr>
        <w:t xml:space="preserve">Теоретической и методологической основой исследования являются научные труды отечественных и зарубежных авторов, посвященные развитию системы страхования и проблемам государственного регулирования рынка страховых услуг </w:t>
      </w:r>
    </w:p>
    <w:p w:rsidR="00515BB7" w:rsidRDefault="00E66410" w:rsidP="00E6641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895208">
        <w:rPr>
          <w:sz w:val="24"/>
          <w:szCs w:val="24"/>
          <w:lang w:val="ru-RU"/>
        </w:rPr>
        <w:t xml:space="preserve">Структура работы. В соответствии с поставленными целью и задачами курсового исследования была определена следующая структура работы: введение, </w:t>
      </w:r>
      <w:r w:rsidR="00CC03BD">
        <w:rPr>
          <w:sz w:val="24"/>
          <w:szCs w:val="24"/>
          <w:lang w:val="ru-RU"/>
        </w:rPr>
        <w:t>пять</w:t>
      </w:r>
      <w:r w:rsidRPr="00895208">
        <w:rPr>
          <w:sz w:val="24"/>
          <w:szCs w:val="24"/>
          <w:lang w:val="ru-RU"/>
        </w:rPr>
        <w:t xml:space="preserve"> глав, заключение, список использованных источников и литературы, приложения.</w:t>
      </w:r>
    </w:p>
    <w:p w:rsidR="00515BB7" w:rsidRPr="00895208" w:rsidRDefault="00515BB7" w:rsidP="00E66410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83181A" w:rsidRDefault="0083181A" w:rsidP="0083181A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83181A" w:rsidRPr="0083181A" w:rsidRDefault="0083181A" w:rsidP="0083181A">
      <w:pPr>
        <w:pageBreakBefore/>
        <w:spacing w:line="360" w:lineRule="auto"/>
        <w:jc w:val="both"/>
        <w:rPr>
          <w:b/>
          <w:sz w:val="24"/>
          <w:szCs w:val="24"/>
          <w:lang w:val="ru-RU"/>
        </w:rPr>
      </w:pPr>
      <w:r w:rsidRPr="00BE7D9A">
        <w:rPr>
          <w:b/>
          <w:sz w:val="28"/>
          <w:szCs w:val="28"/>
          <w:lang w:val="ru-RU"/>
        </w:rPr>
        <w:lastRenderedPageBreak/>
        <w:t>Глава 1</w:t>
      </w:r>
      <w:r w:rsidRPr="0083181A">
        <w:rPr>
          <w:b/>
          <w:sz w:val="24"/>
          <w:szCs w:val="24"/>
          <w:lang w:val="ru-RU"/>
        </w:rPr>
        <w:t>.</w:t>
      </w:r>
      <w:r w:rsidR="004A2A77" w:rsidRPr="004A2A77">
        <w:rPr>
          <w:b/>
          <w:sz w:val="24"/>
          <w:szCs w:val="24"/>
          <w:lang w:val="ru-RU"/>
        </w:rPr>
        <w:t xml:space="preserve"> </w:t>
      </w:r>
      <w:r w:rsidR="004A2A77" w:rsidRPr="00BE7D9A">
        <w:rPr>
          <w:b/>
          <w:sz w:val="28"/>
          <w:szCs w:val="28"/>
          <w:lang w:val="ru-RU"/>
        </w:rPr>
        <w:t>Анализ  российского энергетического рынка</w:t>
      </w:r>
    </w:p>
    <w:p w:rsidR="00F75510" w:rsidRDefault="00F75510" w:rsidP="00D762E7">
      <w:pPr>
        <w:spacing w:line="360" w:lineRule="auto"/>
        <w:jc w:val="both"/>
        <w:rPr>
          <w:sz w:val="24"/>
          <w:szCs w:val="24"/>
          <w:lang w:val="ru-RU"/>
        </w:rPr>
      </w:pPr>
    </w:p>
    <w:p w:rsidR="00575051" w:rsidRPr="00D762E7" w:rsidRDefault="00575051" w:rsidP="00D762E7">
      <w:pPr>
        <w:spacing w:line="360" w:lineRule="auto"/>
        <w:jc w:val="both"/>
        <w:rPr>
          <w:sz w:val="24"/>
          <w:szCs w:val="24"/>
          <w:lang w:val="ru-RU"/>
        </w:rPr>
      </w:pP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Более чем за 100 лет  своего развития российская система теплофикации (</w:t>
      </w:r>
      <w:proofErr w:type="spellStart"/>
      <w:r w:rsidRPr="00D762E7">
        <w:rPr>
          <w:sz w:val="24"/>
          <w:szCs w:val="24"/>
          <w:lang w:val="ru-RU"/>
        </w:rPr>
        <w:t>когенерации</w:t>
      </w:r>
      <w:proofErr w:type="spellEnd"/>
      <w:r w:rsidRPr="00D762E7">
        <w:rPr>
          <w:sz w:val="24"/>
          <w:szCs w:val="24"/>
          <w:lang w:val="ru-RU"/>
        </w:rPr>
        <w:t>) и централизованного теплоснабжения (ЦТ) стала самой большой в мире. Под теплофикацией понимается процесс централизованного обеспечения потребителей тепловой энергией, полученной на ТЭЦ по комбинированному способу выработки тепловой и электрической энергии. Под ЦТ понимается теплоснабжение потребителей от источников тепла через общую тепловую сеть. Теплофикация занимает весомое место в энергетическом комплексе страны. Более половины электрической мощности всех тепловых электростанций приходится на ТЭЦ общего пользования, которые производят свыше 30% всей электроэнергии в стране и покрывают треть спроса на тепловую энергию. На сегодняшний день система теплоснабжения страны состоит из почти 50 тыс. локальных систем теплоснабжения, которая обслуживается 17 тыс. предприятиями теплоснабжения.</w:t>
      </w:r>
      <w:r w:rsidRPr="00D762E7">
        <w:rPr>
          <w:rStyle w:val="a8"/>
          <w:sz w:val="24"/>
          <w:szCs w:val="24"/>
          <w:lang w:val="ru-RU"/>
        </w:rPr>
        <w:footnoteReference w:id="1"/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Минэнерго РФ в текущем году приступило к разработке новой модели рынка тепловой энергии, которая позволит обеспечить доходность инвестиций и рыночные условия функционирования отрасли. Об этом сообщил Александр </w:t>
      </w:r>
      <w:proofErr w:type="spellStart"/>
      <w:r w:rsidRPr="00D762E7">
        <w:rPr>
          <w:sz w:val="24"/>
          <w:szCs w:val="24"/>
          <w:lang w:val="ru-RU"/>
        </w:rPr>
        <w:t>Новак</w:t>
      </w:r>
      <w:proofErr w:type="spellEnd"/>
      <w:r w:rsidRPr="00D762E7">
        <w:rPr>
          <w:sz w:val="24"/>
          <w:szCs w:val="24"/>
          <w:lang w:val="ru-RU"/>
        </w:rPr>
        <w:t>, министр энергетики Российской Федерации, на пресс-конференции в Москве.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Минэнерго подготовлены и внесены в Госдуму РФ поправки к принятому в первом чтении законопроекту No.182358-6 "О внесении изменений в статьи 4 и 20 Федерального закона "О теплоснабжении", предусматривающие возможность определения единой теплоснабжающей организации до утверждения схемы теплоснабжения.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Для обеспечения этой цели министерство разработало систему долгосрочного тарифа, рассчитанного от альтернативной котельной и с учетом введения единой теплоснабжающей организации.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Программа перехода на новую модель рынка тепловой энергии разделена на четыре этапа и запланирована на период до 2017 года. Рынки тепловой энергии в России характеризуются рядом особенностей, усложняющих их взаимодействие с рынками электроэнергии.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Технические особенности.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Отсутствие конкуренции между производителями тепловой энергии. В России существует немного городов, где за счет значительных инвестиций в систему теплоснабжения (прежде всего в строительство сетей и установку тепловых пунктов с </w:t>
      </w:r>
      <w:r w:rsidRPr="00D762E7">
        <w:rPr>
          <w:sz w:val="24"/>
          <w:szCs w:val="24"/>
          <w:lang w:val="ru-RU"/>
        </w:rPr>
        <w:lastRenderedPageBreak/>
        <w:t>теплообменниками) возможна организация конкуренции между производителями тепловой энергии в оперативном режиме. В подавляющем большинстве случаев они работают на свою локальную сеть, которая может быть соединена с другой локальной сетью с помощью аварийных перемычек. Существует всего несколько десятков систем, где на одну тепловую сеть работают несколько производителей — чаще всего это одна или две ТЭЦ и несколько котельных. Однако нет ни одного города, где в ближайшей перспективе система технологически и организационно могла бы быть подготовлена к организации конкуренции между источниками тепла. Соответственно условия для конкуренции между производителями тепловой энергии практически отсутствуют, и работа любого производителя жестко завязана на режим работы потребителей. В этих условиях вопрос о введении той или иной формы конкуренции источников тепла должен рассматриваться в каждом городе индивидуально и решение о выборе такой стратегической цели должно приниматься на основе оценки всех необходимых инвестиций и ценовых последствий для потребителей. Для большинства городов в обозримой перспективе рынок тепловой энергии по-прежнему будет оставаться монопольным, соответственно сохранится тарифное регулирование на этих рынках.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Высокая доля зависимой схемы присоединения потребителей. При создании систем централизованного теплоснабжения в основном применялась зависимая схема присоединения потребителей. Это означает, что теплоноситель из тепловых сетей поступает непосредственно в </w:t>
      </w:r>
      <w:proofErr w:type="spellStart"/>
      <w:r w:rsidRPr="00D762E7">
        <w:rPr>
          <w:sz w:val="24"/>
          <w:szCs w:val="24"/>
          <w:lang w:val="ru-RU"/>
        </w:rPr>
        <w:t>теплопринимающее</w:t>
      </w:r>
      <w:proofErr w:type="spellEnd"/>
      <w:r w:rsidRPr="00D762E7">
        <w:rPr>
          <w:sz w:val="24"/>
          <w:szCs w:val="24"/>
          <w:lang w:val="ru-RU"/>
        </w:rPr>
        <w:t xml:space="preserve"> оборудование потребителя, а после его использования возвращается в обратную тепловую сеть.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При нарушениях гидравлического режима вследствие нарушения режимов работы оборудования производителей тепловой энергии, тепловой сети либо потребителей, возможен гидравлический удар, наносящий огромные убытки </w:t>
      </w:r>
      <w:proofErr w:type="spellStart"/>
      <w:r w:rsidRPr="00D762E7">
        <w:rPr>
          <w:sz w:val="24"/>
          <w:szCs w:val="24"/>
          <w:lang w:val="ru-RU"/>
        </w:rPr>
        <w:t>теплопринимающему</w:t>
      </w:r>
      <w:proofErr w:type="spellEnd"/>
      <w:r w:rsidRPr="00D762E7">
        <w:rPr>
          <w:sz w:val="24"/>
          <w:szCs w:val="24"/>
          <w:lang w:val="ru-RU"/>
        </w:rPr>
        <w:t xml:space="preserve"> оборудованию потребителей. Для защиты от </w:t>
      </w:r>
      <w:proofErr w:type="spellStart"/>
      <w:r w:rsidRPr="00D762E7">
        <w:rPr>
          <w:sz w:val="24"/>
          <w:szCs w:val="24"/>
          <w:lang w:val="ru-RU"/>
        </w:rPr>
        <w:t>гидроудара</w:t>
      </w:r>
      <w:proofErr w:type="spellEnd"/>
      <w:r w:rsidRPr="00D762E7">
        <w:rPr>
          <w:sz w:val="24"/>
          <w:szCs w:val="24"/>
          <w:lang w:val="ru-RU"/>
        </w:rPr>
        <w:t xml:space="preserve"> и обеспечения независимого режима работы тепловой сети применяют независимую схему присоединения потребителей (т.е. теплоноситель не поступает в тепловую систему потребителя, а через теплообменник отдает тепло теплоносителю, циркулирующему у потребителя, и также через теплообменник принимается тепло в обратной сети).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 России у непромышленных потребителей лишь с введением массового строительства стали сооружать центральные тепловые пункты, в которых устанавливали теплообменники и обеспечивали независимое присоединение потребителей. Строительство центральных тепловых пунктов давало существенную экономию средств, однако не позволяло осуществлять индивидуальное регулирование подачи тепла в каждое здание. В настоящее время, с расширением применения автоматического регулирования </w:t>
      </w:r>
      <w:r w:rsidRPr="00D762E7">
        <w:rPr>
          <w:sz w:val="24"/>
          <w:szCs w:val="24"/>
          <w:lang w:val="ru-RU"/>
        </w:rPr>
        <w:lastRenderedPageBreak/>
        <w:t>подачи теплоносителя непосредственно у потребителя, это преимущество утеряно. В связи с этим стратегическим направлением преобразований на рынке тепла, реализуемым в настоящее время в ряде городов, является внедрение независимой схемы присоединения потребителей за счет установки индивидуальных тепловых пунктов.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Высокая доля открытых схем теплоснабжения. Примерно в половине российских городов система теплоснабжения, в целях жесткой экономии средств, создавалась как открытая. Это означает, что часть теплоносителя, после отработки в отопительной системе здания, используется затем в целях горячего водоснабжения и далее сливается в канализацию, т.е. не возвращается к производителю тепловой энергии. Это требует дополнительных затрат в источнике тепла на подготовку и подогрев воды, создает значительную неустойчивость режимов работы системы и существенно усложняет поддержание качества поставляемого тепла. Стратегическим направлением является «закрытие» системы. Как правило, это уже осуществляется в крупных городах, однако делается не для всех источников сразу, а поэтапно.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Ценовые особенности. 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Несоответствие тарифов экономически обоснованным затратам.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Существует значительная дифференциация соотношений тарифов по регионам. Так, максимальное отношение тарифов для промышленности к тарифам жилищных организаций составляет более 3, минимальное — 0,5. При этом экономически обоснованное соотношение цен для них, существенно различаясь по регионам, составляет от 0,6 до 0,9 (в зависимости от конкретной конфигурации системы теплоснабжения и структуры потребителей).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Таким образом, стратегическая задача в системе тарифного регулирования — приближение тарифов на тепловую энергию для потребителей к экономически обоснованным затратам.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Снижение продаж тепловой энергии от ТЭЦ.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«Социально-направленное» регулирование тарифов на тепловую энергию существенно снизило заинтересованность промышленных предприятий в покупке тепла в централизованных системах теплоснабжения. В связи с этим в течение всех 1990-х гг. наблюдался масштабный процесс отказа промышленных потребителей от покупки тепла и создания или восстановления собственных источников тепла. Наряду с общим спадом промышленного производства, это привело к снижению общих продаж тепла от ТЭЦ энергетических компаний на 13%. Одновременно произошло снижение доли отпускаемого от ТЭЦ пара почти в 2 раза. Этот процесс значительно ухудшил экономические показатели централизованных систем теплоснабжения и крупных </w:t>
      </w:r>
      <w:r w:rsidRPr="00D762E7">
        <w:rPr>
          <w:sz w:val="24"/>
          <w:szCs w:val="24"/>
          <w:lang w:val="ru-RU"/>
        </w:rPr>
        <w:lastRenderedPageBreak/>
        <w:t>источников с комбинированной выработкой электрической и тепловой энергии, поскольку постоянные затраты на содержание оборудования не снизились, а удельные затраты в расчете на 1 Гкал отпущенного тепла увеличились.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Институциональные особенности.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Эксплуатация неэффективных котельных.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Подавляющее большинство крупных городов России с населением более 500 тыс. человек имеют мощные ТЭЦ, принадлежащие энергетическим компаниям, и большая часть потребителей обеспечивается ими. В некоторых городах значительную нагрузку несут заводские ТЭЦ. Также в большинстве этих городов имеется большое количество котельных, принадлежащих различным собственникам, причем часто они находятся в зоне действия ТЭЦ. В городах с населением от 100 до 500 тыс. человек также работают ТЭЦ энергетических компаний, но чаще это ТЭЦ небольшой электрической мощности (10—40 МВт) и значительно большей тепловой мощности за счет пиковых котлов, работающих в базовом режиме. Большая </w:t>
      </w:r>
      <w:proofErr w:type="gramStart"/>
      <w:r w:rsidRPr="00D762E7">
        <w:rPr>
          <w:sz w:val="24"/>
          <w:szCs w:val="24"/>
          <w:lang w:val="ru-RU"/>
        </w:rPr>
        <w:t>часть тепловых потребителей в таких городах обеспечивается теплом</w:t>
      </w:r>
      <w:proofErr w:type="gramEnd"/>
      <w:r w:rsidRPr="00D762E7">
        <w:rPr>
          <w:sz w:val="24"/>
          <w:szCs w:val="24"/>
          <w:lang w:val="ru-RU"/>
        </w:rPr>
        <w:t xml:space="preserve"> от котельных. Теплоснабжение подавляющего числа небольших поселений и малых городов осуществляется от котельных.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Наличие разных собственников в сфере теплоснабжения и существенная роль органов местного самоуправления в процедуре согласования инвестиционных решений, их заинтересованность в развитии принадлежащих муниципальному образованию тепловых мощностей порождают неценовые методы конкуренции за доступ на рынок и за финансовые потоки на рынке тепла.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Зачастую котельные, первоначально строившиеся как пиковые для будущего подключения к ТЭЦ, работают в базовом режиме, так как принадлежат иным собственникам, которые заинтересованы в их максимальной загрузке в ущерб потребителю. Администрации некоторых крупных городов вопреки интересам потребителей тратят значительные средства на строительство новых котельных в зоне действия ТЭЦ либо привлекают для этого частных инвесторов. </w:t>
      </w:r>
      <w:proofErr w:type="gramStart"/>
      <w:r w:rsidRPr="00D762E7">
        <w:rPr>
          <w:sz w:val="24"/>
          <w:szCs w:val="24"/>
          <w:lang w:val="ru-RU"/>
        </w:rPr>
        <w:t>В то же время общий потенциал роста отпуска тепла от ТЭЦ за счет вытеснения дорогих котельных составляет не менее 10—11 %, что может снизить стоимость тепла для потребителей на 5—10 %. По некоторым конкретным проектам рост отпуска тепла от ТЭЦ за счет вытеснения очень дорогих котельных может возрасти в несколько раз, что позволит снизить стоимость тепла для потребителей (без учета инвестиционных затрат</w:t>
      </w:r>
      <w:proofErr w:type="gramEnd"/>
      <w:r w:rsidRPr="00D762E7">
        <w:rPr>
          <w:sz w:val="24"/>
          <w:szCs w:val="24"/>
          <w:lang w:val="ru-RU"/>
        </w:rPr>
        <w:t xml:space="preserve">) на 20—30 %. В связи с этим одной из важнейших задач является создание такой системы принятия решений в сфере теплоснабжения, которая обеспечила бы прозрачность процедуры и принятие </w:t>
      </w:r>
      <w:r w:rsidRPr="00D762E7">
        <w:rPr>
          <w:sz w:val="24"/>
          <w:szCs w:val="24"/>
          <w:lang w:val="ru-RU"/>
        </w:rPr>
        <w:lastRenderedPageBreak/>
        <w:t>эффективных решений по загрузке действующих тепловых мощностей и развитию новых источников.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Отсутствие организационного единства тепловых сетей.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 настоящее время на тепловых рынках городов, где присутствует несколько собственников, проявляется тенденция объединения тепловых сетей в единую компанию. </w:t>
      </w:r>
      <w:proofErr w:type="gramStart"/>
      <w:r w:rsidRPr="00D762E7">
        <w:rPr>
          <w:sz w:val="24"/>
          <w:szCs w:val="24"/>
          <w:lang w:val="ru-RU"/>
        </w:rPr>
        <w:t>Целесообразность объединения тепловых сетей, находящихся у разных собственников, в единую компанию, очевидна: существенно снижаются затраты на эксплуатацию, диспетчеризацию, регулирование и контроль вследствие эффекта масштаба; отсутствует необходимость обеспечения всех границ между сетями, принадлежащими различным собственникам, средствами измерения, а также согласования между ними сроков вывода сетей в ремонт; оптимизируется развитие сетей в интересах всего города;</w:t>
      </w:r>
      <w:proofErr w:type="gramEnd"/>
      <w:r w:rsidRPr="00D762E7">
        <w:rPr>
          <w:sz w:val="24"/>
          <w:szCs w:val="24"/>
          <w:lang w:val="ru-RU"/>
        </w:rPr>
        <w:t xml:space="preserve"> возможна оптимизация инвестиций. При едином оперативном управлении сетью легче организовать наладку системы, включая работу со всеми потребителями, что обеспечивает более высокое качество тепловой энергии.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Появление новых собственников в муниципальном тепловом бизнесе.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Продолжается вхождение иных собственников в муниципальный тепловой бизнес. Назрела необходимость упорядочивания и четкого определения ответственности сторон в возникающих при этом отношениях.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Первоочередные задачи формирования эффективного рынка тепловой энергии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Особенности состояния и развития сферы теплоснабжения в России определяют необходимость существенных изменений в системе отношений на рынках тепловой энергии. Эти изменения уже начались — прежде </w:t>
      </w:r>
      <w:proofErr w:type="gramStart"/>
      <w:r w:rsidRPr="00D762E7">
        <w:rPr>
          <w:sz w:val="24"/>
          <w:szCs w:val="24"/>
          <w:lang w:val="ru-RU"/>
        </w:rPr>
        <w:t>всего</w:t>
      </w:r>
      <w:proofErr w:type="gramEnd"/>
      <w:r w:rsidRPr="00D762E7">
        <w:rPr>
          <w:sz w:val="24"/>
          <w:szCs w:val="24"/>
          <w:lang w:val="ru-RU"/>
        </w:rPr>
        <w:t xml:space="preserve"> с изменения структуры собственности и характера отношений. Очень важно, чтобы эти изменения в конечном итоге привели к созданию такой системы отношений, которая определит ответственность и права каждого участника, конкретизирует ответственность органов власти в сфере теплоснабжения, создаст стимулы для теплоснабжающих организаций действовать в интересах потребителей и позволит применять для этого цивилизованные гибкие формы борьбы за потребителя. Сфера теплоснабжения должна быть преобразована в полноценный стабильный и эффективный бизнес. Развитие систем теплоснабжения должно осуществляться в наиболее эффективных направлениях с точки зрения долгосрочных интересов потребителей, а на рынках с участием источников комбинированной выработки электроэнергии и тепла — с учетом эффективного развития рынка электроэнергии.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Для этого должен быть решен комплекс следующих задач:</w:t>
      </w:r>
    </w:p>
    <w:p w:rsidR="00447CC4" w:rsidRPr="00D762E7" w:rsidRDefault="00447CC4" w:rsidP="00447CC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lastRenderedPageBreak/>
        <w:t xml:space="preserve">определены технологическая ответственность и права участников сферы теплоснабжения для обеспечения надежного теплоснабжения, включая технологическую ответственность сторон в договорах (в том числе потребителя как элемента системы, влияющего на ее работу); обязательность согласования сроков ремонтов и взаимодействия организаций в чрезвычайных и аварийных ситуациях и регламентации действий по наладке и регулированию работы системы теплоснабжения и </w:t>
      </w:r>
      <w:proofErr w:type="gramStart"/>
      <w:r w:rsidRPr="00D762E7">
        <w:rPr>
          <w:sz w:val="24"/>
          <w:szCs w:val="24"/>
          <w:lang w:val="ru-RU"/>
        </w:rPr>
        <w:t>контроля за</w:t>
      </w:r>
      <w:proofErr w:type="gramEnd"/>
      <w:r w:rsidRPr="00D762E7">
        <w:rPr>
          <w:sz w:val="24"/>
          <w:szCs w:val="24"/>
          <w:lang w:val="ru-RU"/>
        </w:rPr>
        <w:t xml:space="preserve"> выполнением всеми сторонами (включая потребителей) своих технологических обязательств; формирование процедуры вывода значимого оборудования и тепловых сетей в долгосрочный ремонт и из эксплуатации, направленной на предотвращение возникновения дефицита тепловой энергии и мощности, исключение безответственных (в технологическом плане) посредников из системы отношений в сфере теплоснабжения;</w:t>
      </w:r>
    </w:p>
    <w:p w:rsidR="00447CC4" w:rsidRPr="00D762E7" w:rsidRDefault="00447CC4" w:rsidP="00447CC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определены экономическая ответственность и права участников сферы теплоснабжения для обеспечения стабильности и выгодности отношений при выполнении следующих условий: четком определении экономической ответственности, прав и обязанностей сторон по договорам; создании механизма фиксации текущих долгов бюджетов и организаций, финансируемых из бюджета, и механизма обеспечения компенсации убытков организаций вследствие нарушения обязательств бюджета; регламентации отношений при неплатежах (включая порядок ограничений и отключений) и взыскании задолженности; создании системы, стимулирующей повсеместное введение учета тепла;</w:t>
      </w:r>
    </w:p>
    <w:p w:rsidR="00447CC4" w:rsidRPr="00D762E7" w:rsidRDefault="00447CC4" w:rsidP="00447CC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D762E7">
        <w:rPr>
          <w:sz w:val="24"/>
          <w:szCs w:val="24"/>
          <w:lang w:val="ru-RU"/>
        </w:rPr>
        <w:t>создана система, стимулирующая теплоснабжающие организации действовать в интересах потребителей при использовании цивилизованных форм ценовой конкурентной борьбы; обеспечивающая возможность заключения долгосрочных договоров; разрешающая потребителю заключать договоры теплоснабжения с организацией, к сети которой он присоединен через сети другой организации, при ответственности теплоснабжающей организации за самостоятельное урегулирование отношений по передаче тепловой энергии в интересах потребителей;</w:t>
      </w:r>
      <w:proofErr w:type="gramEnd"/>
      <w:r w:rsidRPr="00D762E7">
        <w:rPr>
          <w:sz w:val="24"/>
          <w:szCs w:val="24"/>
          <w:lang w:val="ru-RU"/>
        </w:rPr>
        <w:t xml:space="preserve"> обеспечивающая реализацию оптимального режима работы источников тепла и тепловых сетей в интересах потребителей, исключение неэффективных решений при внутригодовом планировании загрузки источников тепла;</w:t>
      </w:r>
    </w:p>
    <w:p w:rsidR="00447CC4" w:rsidRPr="00D762E7" w:rsidRDefault="00447CC4" w:rsidP="00447CC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D762E7">
        <w:rPr>
          <w:sz w:val="24"/>
          <w:szCs w:val="24"/>
          <w:lang w:val="ru-RU"/>
        </w:rPr>
        <w:lastRenderedPageBreak/>
        <w:t xml:space="preserve">созданы условия для оптимального развития сферы теплоснабжения, в том числе: объективный и </w:t>
      </w:r>
      <w:proofErr w:type="spellStart"/>
      <w:r w:rsidRPr="00D762E7">
        <w:rPr>
          <w:sz w:val="24"/>
          <w:szCs w:val="24"/>
          <w:lang w:val="ru-RU"/>
        </w:rPr>
        <w:t>недискриминационный</w:t>
      </w:r>
      <w:proofErr w:type="spellEnd"/>
      <w:r w:rsidRPr="00D762E7">
        <w:rPr>
          <w:sz w:val="24"/>
          <w:szCs w:val="24"/>
          <w:lang w:val="ru-RU"/>
        </w:rPr>
        <w:t xml:space="preserve"> механизм принятия инвестиционных решений (включая порядок и критерии принятия инвестиционных решений, обеспечивающих приоритет надежности и экономичности теплоснабжения и ответственность властей за соответствие решений этим критериям; обеспечение равной конкуренции проектов, встраивание системы принятия инвестиционных решений в процесс разработки программы комплексного развития систем коммунальной инфраструктуры;</w:t>
      </w:r>
      <w:proofErr w:type="gramEnd"/>
      <w:r w:rsidRPr="00D762E7">
        <w:rPr>
          <w:sz w:val="24"/>
          <w:szCs w:val="24"/>
          <w:lang w:val="ru-RU"/>
        </w:rPr>
        <w:t xml:space="preserve"> единую методологию разработки программных документов); механизм учета принятых решений в договорах и при установлении тарифов; механизмы обеспечения гарантий для инвесторов в муниципальную теплоэнергетику;</w:t>
      </w:r>
    </w:p>
    <w:p w:rsidR="00447CC4" w:rsidRPr="00D762E7" w:rsidRDefault="00447CC4" w:rsidP="00447CC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proofErr w:type="gramStart"/>
      <w:r w:rsidRPr="00D762E7">
        <w:rPr>
          <w:sz w:val="24"/>
          <w:szCs w:val="24"/>
          <w:lang w:val="ru-RU"/>
        </w:rPr>
        <w:t>сформирована целевая модель государственного ценового регулирования в сфере теплоснабжения, обеспечивающая стимулирование участников сферы теплоснабжения к снижению совокупных издержек на обеспечение потребителей теплом в текущем режиме и в перспективе; поэтапную ликвидацию перекрестного субсидирования; стабильность отношений на рынке тепла в результате заключения долгосрочных договоров; при введении конкурентного рынка электроэнергии возможность ценового маневра ТЭЦ для учета конъюнктуры обоих рынков;</w:t>
      </w:r>
      <w:proofErr w:type="gramEnd"/>
    </w:p>
    <w:p w:rsidR="00447CC4" w:rsidRPr="00D762E7" w:rsidRDefault="00447CC4" w:rsidP="00447CC4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определены критерии (технологические и организационные условия), выполнение которых позволяет </w:t>
      </w:r>
      <w:proofErr w:type="spellStart"/>
      <w:r w:rsidRPr="00D762E7">
        <w:rPr>
          <w:sz w:val="24"/>
          <w:szCs w:val="24"/>
          <w:lang w:val="ru-RU"/>
        </w:rPr>
        <w:t>дерегулировать</w:t>
      </w:r>
      <w:proofErr w:type="spellEnd"/>
      <w:r w:rsidRPr="00D762E7">
        <w:rPr>
          <w:sz w:val="24"/>
          <w:szCs w:val="24"/>
          <w:lang w:val="ru-RU"/>
        </w:rPr>
        <w:t xml:space="preserve"> цены на конкурентные виды деятельности в теплоснабжении, а также порядок </w:t>
      </w:r>
      <w:proofErr w:type="spellStart"/>
      <w:r w:rsidRPr="00D762E7">
        <w:rPr>
          <w:sz w:val="24"/>
          <w:szCs w:val="24"/>
          <w:lang w:val="ru-RU"/>
        </w:rPr>
        <w:t>дерегулирования</w:t>
      </w:r>
      <w:proofErr w:type="spellEnd"/>
      <w:r w:rsidRPr="00D762E7">
        <w:rPr>
          <w:sz w:val="24"/>
          <w:szCs w:val="24"/>
          <w:lang w:val="ru-RU"/>
        </w:rPr>
        <w:t xml:space="preserve"> цен.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Решение перечисленных выше задач позволит сформировать эффективную систему отношений в сфере теплоснабжения, обеспечивающую надежное и эффективное обеспечение добросовестных потребителей теплом.</w:t>
      </w:r>
    </w:p>
    <w:p w:rsidR="00F75510" w:rsidRPr="00BE7D9A" w:rsidRDefault="0083181A" w:rsidP="00F75510">
      <w:pPr>
        <w:pageBreakBefore/>
        <w:spacing w:line="360" w:lineRule="auto"/>
        <w:jc w:val="both"/>
        <w:rPr>
          <w:b/>
          <w:sz w:val="28"/>
          <w:szCs w:val="28"/>
          <w:lang w:val="ru-RU"/>
        </w:rPr>
      </w:pPr>
      <w:r w:rsidRPr="00BE7D9A">
        <w:rPr>
          <w:b/>
          <w:sz w:val="28"/>
          <w:szCs w:val="28"/>
          <w:lang w:val="ru-RU"/>
        </w:rPr>
        <w:lastRenderedPageBreak/>
        <w:t>Глава 2.</w:t>
      </w:r>
      <w:r w:rsidR="00F75510" w:rsidRPr="00BE7D9A">
        <w:rPr>
          <w:b/>
          <w:sz w:val="28"/>
          <w:szCs w:val="28"/>
          <w:lang w:val="ru-RU"/>
        </w:rPr>
        <w:t xml:space="preserve"> </w:t>
      </w:r>
      <w:r w:rsidRPr="00BE7D9A">
        <w:rPr>
          <w:b/>
          <w:sz w:val="28"/>
          <w:szCs w:val="28"/>
          <w:lang w:val="ru-RU"/>
        </w:rPr>
        <w:t>Проектное решение - строительство утилизационной теплоэлектроцентрали (УТЭЦ)</w:t>
      </w:r>
    </w:p>
    <w:p w:rsidR="00BE7D9A" w:rsidRDefault="00BE7D9A" w:rsidP="00BE7D9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</w:p>
    <w:p w:rsidR="00447CC4" w:rsidRPr="00D762E7" w:rsidRDefault="00BE7D9A" w:rsidP="00BE7D9A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447CC4" w:rsidRPr="00D762E7">
        <w:rPr>
          <w:sz w:val="24"/>
          <w:szCs w:val="24"/>
          <w:lang w:val="ru-RU"/>
        </w:rPr>
        <w:t>ОАО "</w:t>
      </w:r>
      <w:proofErr w:type="spellStart"/>
      <w:r w:rsidR="00447CC4" w:rsidRPr="00D762E7">
        <w:rPr>
          <w:sz w:val="24"/>
          <w:szCs w:val="24"/>
          <w:lang w:val="ru-RU"/>
        </w:rPr>
        <w:t>Новолипецкий</w:t>
      </w:r>
      <w:proofErr w:type="spellEnd"/>
      <w:r w:rsidR="00447CC4" w:rsidRPr="00D762E7">
        <w:rPr>
          <w:sz w:val="24"/>
          <w:szCs w:val="24"/>
          <w:lang w:val="ru-RU"/>
        </w:rPr>
        <w:t xml:space="preserve"> Металлургический Комбинат" - одна из крупнейших в мире металлургических компаний. Являясь предприятием с полным металлургическим циклом, НЛМК производит чугун, слябы, холоднокатаную, горячекатаную, оцинкованную, </w:t>
      </w:r>
      <w:proofErr w:type="spellStart"/>
      <w:r w:rsidR="00447CC4" w:rsidRPr="00D762E7">
        <w:rPr>
          <w:sz w:val="24"/>
          <w:szCs w:val="24"/>
          <w:lang w:val="ru-RU"/>
        </w:rPr>
        <w:t>динамную</w:t>
      </w:r>
      <w:proofErr w:type="spellEnd"/>
      <w:r w:rsidR="00447CC4" w:rsidRPr="00D762E7">
        <w:rPr>
          <w:sz w:val="24"/>
          <w:szCs w:val="24"/>
          <w:lang w:val="ru-RU"/>
        </w:rPr>
        <w:t>, трансформаторную сталь и сталь с полимерным покрытием. Комбинат выпускает около 14% всей российской стали, 21% проката и 55% проката с полимерным покрытием. Строительство УТЭЦ позволи</w:t>
      </w:r>
      <w:r w:rsidR="00515BB7">
        <w:rPr>
          <w:sz w:val="24"/>
          <w:szCs w:val="24"/>
          <w:lang w:val="ru-RU"/>
        </w:rPr>
        <w:t>т</w:t>
      </w:r>
      <w:r w:rsidR="00447CC4" w:rsidRPr="00D762E7">
        <w:rPr>
          <w:sz w:val="24"/>
          <w:szCs w:val="24"/>
          <w:lang w:val="ru-RU"/>
        </w:rPr>
        <w:t xml:space="preserve"> НЛМК увеличить уровень </w:t>
      </w:r>
      <w:proofErr w:type="spellStart"/>
      <w:r w:rsidR="00447CC4" w:rsidRPr="00D762E7">
        <w:rPr>
          <w:sz w:val="24"/>
          <w:szCs w:val="24"/>
          <w:lang w:val="ru-RU"/>
        </w:rPr>
        <w:t>самообеспечения</w:t>
      </w:r>
      <w:proofErr w:type="spellEnd"/>
      <w:r w:rsidR="00447CC4" w:rsidRPr="00D762E7">
        <w:rPr>
          <w:sz w:val="24"/>
          <w:szCs w:val="24"/>
          <w:lang w:val="ru-RU"/>
        </w:rPr>
        <w:t xml:space="preserve"> электрической энергией до 70%.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 качестве основного топлива для выработки электроэнергии на УТЭЦ используется доменный газ, являющийся побочным продуктом работы печи. Таким образом, реализуется программа повышения </w:t>
      </w:r>
      <w:proofErr w:type="spellStart"/>
      <w:r w:rsidRPr="00D762E7">
        <w:rPr>
          <w:sz w:val="24"/>
          <w:szCs w:val="24"/>
          <w:lang w:val="ru-RU"/>
        </w:rPr>
        <w:t>энергоэффективности</w:t>
      </w:r>
      <w:proofErr w:type="spellEnd"/>
      <w:r w:rsidRPr="00D762E7">
        <w:rPr>
          <w:sz w:val="24"/>
          <w:szCs w:val="24"/>
          <w:lang w:val="ru-RU"/>
        </w:rPr>
        <w:t xml:space="preserve"> НЛМК и решается задача экономически эффективного использования вторичных энергоресурсов, включая полную переработку всего объема доменного газа. 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Новая станция позволяет утилизировать его в объемах 360 тысяч кубометров в час, параллельно повышая энергетическую независимость комбината от внешних источников электроэнергии. При этом</w:t>
      </w:r>
      <w:proofErr w:type="gramStart"/>
      <w:r w:rsidRPr="00D762E7">
        <w:rPr>
          <w:sz w:val="24"/>
          <w:szCs w:val="24"/>
          <w:lang w:val="ru-RU"/>
        </w:rPr>
        <w:t>,</w:t>
      </w:r>
      <w:proofErr w:type="gramEnd"/>
      <w:r w:rsidRPr="00D762E7">
        <w:rPr>
          <w:sz w:val="24"/>
          <w:szCs w:val="24"/>
          <w:lang w:val="ru-RU"/>
        </w:rPr>
        <w:t xml:space="preserve"> наряду с выработкой электроэнергии, обеспечивается покрытие тепловых нагрузок комбината за счет отпуска промышленного пара и горячей воды. Утилизация доменного газа для выработки электрической и тепловой энергии позволит комбинату сэкономить более 260 тысяч тонн условного топлива в год. </w:t>
      </w:r>
    </w:p>
    <w:p w:rsidR="00575051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Не менее важно то, что сжигание доменного газа в парогенераторах УТЭЦ решает экологическую задачу, предотвращая сброс доменного газа в атмосферу и снижая вредные выбросы до допустимой концентрации. </w:t>
      </w:r>
    </w:p>
    <w:p w:rsidR="00575051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Ввод УТЭЦ в эксплуатацию увеличивает установленную мощность генерации НЛМК до 482 МВт, из которых более 290 МВт вырабатывается исключительно за счет эффективной утилизации вторичных энергоресурсов. Кроме того, у комбината появи</w:t>
      </w:r>
      <w:r w:rsidR="00515BB7">
        <w:rPr>
          <w:sz w:val="24"/>
          <w:szCs w:val="24"/>
          <w:lang w:val="ru-RU"/>
        </w:rPr>
        <w:t>т</w:t>
      </w:r>
      <w:r w:rsidRPr="00D762E7">
        <w:rPr>
          <w:sz w:val="24"/>
          <w:szCs w:val="24"/>
          <w:lang w:val="ru-RU"/>
        </w:rPr>
        <w:t xml:space="preserve">ся дополнительный источник тепловой энергии, обеспечивающий производство 115 Гкал </w:t>
      </w:r>
      <w:proofErr w:type="spellStart"/>
      <w:r w:rsidRPr="00D762E7">
        <w:rPr>
          <w:sz w:val="24"/>
          <w:szCs w:val="24"/>
          <w:lang w:val="ru-RU"/>
        </w:rPr>
        <w:t>теплоэнергии</w:t>
      </w:r>
      <w:proofErr w:type="spellEnd"/>
      <w:r w:rsidRPr="00D762E7">
        <w:rPr>
          <w:sz w:val="24"/>
          <w:szCs w:val="24"/>
          <w:lang w:val="ru-RU"/>
        </w:rPr>
        <w:t xml:space="preserve"> в виде горячей воды и 120</w:t>
      </w:r>
      <w:r w:rsidRPr="00D762E7">
        <w:rPr>
          <w:rFonts w:ascii="Cambria Math" w:hAnsi="Cambria Math" w:cs="Cambria Math"/>
          <w:sz w:val="24"/>
          <w:szCs w:val="24"/>
          <w:lang w:val="ru-RU"/>
        </w:rPr>
        <w:t> </w:t>
      </w:r>
      <w:r w:rsidRPr="00D762E7">
        <w:rPr>
          <w:sz w:val="24"/>
          <w:szCs w:val="24"/>
          <w:lang w:val="ru-RU"/>
        </w:rPr>
        <w:t xml:space="preserve">тонн в час пара для нужд НЛМК. 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D762E7">
        <w:rPr>
          <w:sz w:val="24"/>
          <w:szCs w:val="24"/>
          <w:lang w:val="ru-RU"/>
        </w:rPr>
        <w:t>Новая</w:t>
      </w:r>
      <w:proofErr w:type="gramEnd"/>
      <w:r w:rsidRPr="00D762E7">
        <w:rPr>
          <w:sz w:val="24"/>
          <w:szCs w:val="24"/>
          <w:lang w:val="ru-RU"/>
        </w:rPr>
        <w:t xml:space="preserve"> УТЭЦ представляет собой современный технологический комплекс, включающий: </w:t>
      </w:r>
    </w:p>
    <w:p w:rsidR="00447CC4" w:rsidRPr="00D762E7" w:rsidRDefault="00447CC4" w:rsidP="00447CC4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три </w:t>
      </w:r>
      <w:proofErr w:type="spellStart"/>
      <w:r w:rsidRPr="00D762E7">
        <w:rPr>
          <w:sz w:val="24"/>
          <w:szCs w:val="24"/>
          <w:lang w:val="ru-RU"/>
        </w:rPr>
        <w:t>котлоагрегата</w:t>
      </w:r>
      <w:proofErr w:type="spellEnd"/>
      <w:r w:rsidRPr="00D762E7">
        <w:rPr>
          <w:sz w:val="24"/>
          <w:szCs w:val="24"/>
          <w:lang w:val="ru-RU"/>
        </w:rPr>
        <w:t xml:space="preserve"> Е-220–9,8-540ГД с </w:t>
      </w:r>
      <w:proofErr w:type="gramStart"/>
      <w:r w:rsidRPr="00D762E7">
        <w:rPr>
          <w:sz w:val="24"/>
          <w:szCs w:val="24"/>
          <w:lang w:val="ru-RU"/>
        </w:rPr>
        <w:t>единичной</w:t>
      </w:r>
      <w:proofErr w:type="gramEnd"/>
      <w:r w:rsidRPr="00D762E7">
        <w:rPr>
          <w:sz w:val="24"/>
          <w:szCs w:val="24"/>
          <w:lang w:val="ru-RU"/>
        </w:rPr>
        <w:t xml:space="preserve"> </w:t>
      </w:r>
      <w:proofErr w:type="spellStart"/>
      <w:r w:rsidRPr="00D762E7">
        <w:rPr>
          <w:sz w:val="24"/>
          <w:szCs w:val="24"/>
          <w:lang w:val="ru-RU"/>
        </w:rPr>
        <w:t>паропроизводительностью</w:t>
      </w:r>
      <w:proofErr w:type="spellEnd"/>
      <w:r w:rsidRPr="00D762E7">
        <w:rPr>
          <w:sz w:val="24"/>
          <w:szCs w:val="24"/>
          <w:lang w:val="ru-RU"/>
        </w:rPr>
        <w:t xml:space="preserve"> по 220</w:t>
      </w:r>
      <w:r w:rsidRPr="00D762E7">
        <w:rPr>
          <w:rFonts w:ascii="Cambria Math" w:hAnsi="Cambria Math" w:cs="Cambria Math"/>
          <w:sz w:val="24"/>
          <w:szCs w:val="24"/>
          <w:lang w:val="ru-RU"/>
        </w:rPr>
        <w:t> </w:t>
      </w:r>
      <w:r w:rsidRPr="00D762E7">
        <w:rPr>
          <w:sz w:val="24"/>
          <w:szCs w:val="24"/>
          <w:lang w:val="ru-RU"/>
        </w:rPr>
        <w:t>тонн в час производства ОАО «</w:t>
      </w:r>
      <w:proofErr w:type="spellStart"/>
      <w:r w:rsidRPr="00D762E7">
        <w:rPr>
          <w:sz w:val="24"/>
          <w:szCs w:val="24"/>
          <w:lang w:val="ru-RU"/>
        </w:rPr>
        <w:t>Сибэнергомаш</w:t>
      </w:r>
      <w:proofErr w:type="spellEnd"/>
      <w:r w:rsidRPr="00D762E7">
        <w:rPr>
          <w:sz w:val="24"/>
          <w:szCs w:val="24"/>
          <w:lang w:val="ru-RU"/>
        </w:rPr>
        <w:t xml:space="preserve">»; </w:t>
      </w:r>
    </w:p>
    <w:p w:rsidR="00447CC4" w:rsidRPr="00D762E7" w:rsidRDefault="00447CC4" w:rsidP="00447CC4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три турбоагрегата ПТ-40/50</w:t>
      </w:r>
      <w:r w:rsidRPr="00D762E7">
        <w:rPr>
          <w:sz w:val="24"/>
          <w:szCs w:val="24"/>
          <w:lang w:val="ru-RU"/>
        </w:rPr>
        <w:noBreakHyphen/>
        <w:t xml:space="preserve">8,8/1,3 единичной электрической мощностью 50 МВт производства ОАО «Калужский турбинный завод» (концерн «Силовые машины»); </w:t>
      </w:r>
    </w:p>
    <w:p w:rsidR="00447CC4" w:rsidRPr="00D762E7" w:rsidRDefault="00447CC4" w:rsidP="00447CC4">
      <w:pPr>
        <w:pStyle w:val="a5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lastRenderedPageBreak/>
        <w:t xml:space="preserve">три турбогенератора ТТК-50-2УЗ-П производства ОАО «Привод», город Лысьва. </w:t>
      </w:r>
    </w:p>
    <w:p w:rsidR="0083181A" w:rsidRDefault="00447CC4" w:rsidP="008318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На станции </w:t>
      </w:r>
      <w:r w:rsidR="00515BB7">
        <w:rPr>
          <w:sz w:val="24"/>
          <w:szCs w:val="24"/>
          <w:lang w:val="ru-RU"/>
        </w:rPr>
        <w:t xml:space="preserve">будет </w:t>
      </w:r>
      <w:r w:rsidRPr="00D762E7">
        <w:rPr>
          <w:sz w:val="24"/>
          <w:szCs w:val="24"/>
          <w:lang w:val="ru-RU"/>
        </w:rPr>
        <w:t>применена высокая степень автоматизации технологических процессов за счет применения современного программно-технического комплекса SPPA T3000 «</w:t>
      </w:r>
      <w:proofErr w:type="spellStart"/>
      <w:r w:rsidRPr="00D762E7">
        <w:rPr>
          <w:sz w:val="24"/>
          <w:szCs w:val="24"/>
          <w:lang w:val="ru-RU"/>
        </w:rPr>
        <w:t>Siemens</w:t>
      </w:r>
      <w:proofErr w:type="spellEnd"/>
      <w:r w:rsidRPr="00D762E7">
        <w:rPr>
          <w:sz w:val="24"/>
          <w:szCs w:val="24"/>
          <w:lang w:val="ru-RU"/>
        </w:rPr>
        <w:t xml:space="preserve">». Комплекс является самой современной разработкой фирмы </w:t>
      </w:r>
      <w:proofErr w:type="spellStart"/>
      <w:r w:rsidRPr="00D762E7">
        <w:rPr>
          <w:sz w:val="24"/>
          <w:szCs w:val="24"/>
          <w:lang w:val="ru-RU"/>
        </w:rPr>
        <w:t>Siemens</w:t>
      </w:r>
      <w:proofErr w:type="spellEnd"/>
      <w:r w:rsidRPr="00D762E7">
        <w:rPr>
          <w:sz w:val="24"/>
          <w:szCs w:val="24"/>
          <w:lang w:val="ru-RU"/>
        </w:rPr>
        <w:t xml:space="preserve">, созданной для выполнения всех задач автоматизации оборудования электростанции. </w:t>
      </w:r>
    </w:p>
    <w:p w:rsidR="00447CC4" w:rsidRPr="00D762E7" w:rsidRDefault="00447CC4" w:rsidP="00447CC4">
      <w:pPr>
        <w:spacing w:line="360" w:lineRule="auto"/>
        <w:jc w:val="both"/>
        <w:rPr>
          <w:sz w:val="24"/>
          <w:szCs w:val="24"/>
          <w:lang w:val="ru-RU"/>
        </w:rPr>
      </w:pPr>
    </w:p>
    <w:p w:rsidR="00447CC4" w:rsidRPr="00A76D05" w:rsidRDefault="00447CC4" w:rsidP="00447CC4">
      <w:pPr>
        <w:spacing w:line="360" w:lineRule="auto"/>
        <w:jc w:val="both"/>
        <w:rPr>
          <w:sz w:val="28"/>
          <w:szCs w:val="28"/>
          <w:lang w:val="ru-RU"/>
        </w:rPr>
      </w:pPr>
      <w:r w:rsidRPr="00D762E7">
        <w:rPr>
          <w:sz w:val="24"/>
          <w:szCs w:val="24"/>
          <w:lang w:val="ru-RU"/>
        </w:rPr>
        <w:t xml:space="preserve"> </w:t>
      </w:r>
    </w:p>
    <w:p w:rsidR="00447CC4" w:rsidRPr="00A76D05" w:rsidRDefault="00447CC4" w:rsidP="00447CC4">
      <w:pPr>
        <w:spacing w:line="360" w:lineRule="auto"/>
        <w:ind w:firstLine="709"/>
        <w:rPr>
          <w:b/>
          <w:sz w:val="28"/>
          <w:szCs w:val="28"/>
          <w:lang w:val="ru-RU"/>
        </w:rPr>
      </w:pPr>
      <w:r w:rsidRPr="00A76D05">
        <w:rPr>
          <w:b/>
          <w:sz w:val="28"/>
          <w:szCs w:val="28"/>
          <w:lang w:val="ru-RU"/>
        </w:rPr>
        <w:t>2.1. Производственная структура УТЭЦ</w:t>
      </w:r>
    </w:p>
    <w:p w:rsidR="00A76D05" w:rsidRDefault="00A76D05" w:rsidP="00447CC4">
      <w:pPr>
        <w:spacing w:line="360" w:lineRule="auto"/>
        <w:ind w:firstLine="709"/>
        <w:rPr>
          <w:b/>
          <w:sz w:val="24"/>
          <w:szCs w:val="24"/>
          <w:lang w:val="ru-RU"/>
        </w:rPr>
      </w:pPr>
    </w:p>
    <w:p w:rsidR="0083181A" w:rsidRDefault="00BE7D9A" w:rsidP="00BE7D9A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</w:t>
      </w:r>
      <w:r w:rsidR="00447CC4" w:rsidRPr="00D762E7">
        <w:rPr>
          <w:bCs/>
          <w:sz w:val="24"/>
          <w:szCs w:val="24"/>
          <w:lang w:val="ru-RU"/>
        </w:rPr>
        <w:t xml:space="preserve">УТЭЦ – это большой комплекс, предназначенный для выработки электроэнергии и обеспечения потребителей теплом и горячей водой, а также паром для производственных нужд, которые получают с помощью утилизации доменного газа. 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В составе УТЭЦ предусматривается следующий комплекс зданий и сооружений: </w:t>
      </w:r>
    </w:p>
    <w:p w:rsidR="00447CC4" w:rsidRPr="00D762E7" w:rsidRDefault="00447CC4" w:rsidP="00447CC4">
      <w:pPr>
        <w:pStyle w:val="a5"/>
        <w:numPr>
          <w:ilvl w:val="0"/>
          <w:numId w:val="9"/>
        </w:numPr>
        <w:spacing w:line="360" w:lineRule="auto"/>
        <w:ind w:left="993" w:hanging="426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главный корпус (котлотурбинный цех, включающий паровые турбины, электрические генераторы, энергетические котлы для сжигания доменного газа совместно с природным газом, оборудование для нагрева и перекачки сетевой воды и вспомогательное оборудование);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дымовая труба (трехствольная – по одному стволу на каждый котел, плюс резервное место для 4-го ствола – от 4-го котла);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открытое распределительное устройство 110 кВ (ОРУ-110 кВ);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распределительное устройство собственных нужд (РУСН-6 кВ);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главный щит управления (ГЩУ);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насосная станция оборотного водоснабжения;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proofErr w:type="spellStart"/>
      <w:r w:rsidRPr="00D762E7">
        <w:rPr>
          <w:sz w:val="24"/>
          <w:szCs w:val="24"/>
          <w:lang w:val="ru-RU"/>
        </w:rPr>
        <w:t>вентиляторные</w:t>
      </w:r>
      <w:proofErr w:type="spellEnd"/>
      <w:r w:rsidRPr="00D762E7">
        <w:rPr>
          <w:sz w:val="24"/>
          <w:szCs w:val="24"/>
          <w:lang w:val="ru-RU"/>
        </w:rPr>
        <w:t xml:space="preserve"> </w:t>
      </w:r>
      <w:proofErr w:type="spellStart"/>
      <w:r w:rsidRPr="00D762E7">
        <w:rPr>
          <w:sz w:val="24"/>
          <w:szCs w:val="24"/>
          <w:lang w:val="ru-RU"/>
        </w:rPr>
        <w:t>четырёхсекционные</w:t>
      </w:r>
      <w:proofErr w:type="spellEnd"/>
      <w:r w:rsidRPr="00D762E7">
        <w:rPr>
          <w:sz w:val="24"/>
          <w:szCs w:val="24"/>
          <w:lang w:val="ru-RU"/>
        </w:rPr>
        <w:t xml:space="preserve"> градирни (три) для испарительного охлаждения технической воды для конденсаторов паровых турбин и вспомогательного оборудования;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насосные станции </w:t>
      </w:r>
      <w:proofErr w:type="spellStart"/>
      <w:r w:rsidRPr="00D762E7">
        <w:rPr>
          <w:sz w:val="24"/>
          <w:szCs w:val="24"/>
          <w:lang w:val="ru-RU"/>
        </w:rPr>
        <w:t>хозбытовой</w:t>
      </w:r>
      <w:proofErr w:type="spellEnd"/>
      <w:r w:rsidRPr="00D762E7">
        <w:rPr>
          <w:sz w:val="24"/>
          <w:szCs w:val="24"/>
          <w:lang w:val="ru-RU"/>
        </w:rPr>
        <w:t xml:space="preserve"> и </w:t>
      </w:r>
      <w:proofErr w:type="spellStart"/>
      <w:r w:rsidRPr="00D762E7">
        <w:rPr>
          <w:sz w:val="24"/>
          <w:szCs w:val="24"/>
          <w:lang w:val="ru-RU"/>
        </w:rPr>
        <w:t>промливневой</w:t>
      </w:r>
      <w:proofErr w:type="spellEnd"/>
      <w:r w:rsidRPr="00D762E7">
        <w:rPr>
          <w:sz w:val="24"/>
          <w:szCs w:val="24"/>
          <w:lang w:val="ru-RU"/>
        </w:rPr>
        <w:t xml:space="preserve"> канализации для перекачки собранных на площадке УТЭЦ </w:t>
      </w:r>
      <w:proofErr w:type="spellStart"/>
      <w:r w:rsidRPr="00D762E7">
        <w:rPr>
          <w:sz w:val="24"/>
          <w:szCs w:val="24"/>
          <w:lang w:val="ru-RU"/>
        </w:rPr>
        <w:t>хозбытовых</w:t>
      </w:r>
      <w:proofErr w:type="spellEnd"/>
      <w:r w:rsidRPr="00D762E7">
        <w:rPr>
          <w:sz w:val="24"/>
          <w:szCs w:val="24"/>
          <w:lang w:val="ru-RU"/>
        </w:rPr>
        <w:t xml:space="preserve"> и производственно-ливневых стоков в системы утилизации стоков НЛМК;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водоподготовительная установка с баковым хозяйством для химической обработки сырой воды на подпитку паросилового цикла УТЭЦ;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газорегуляторный пункт (ГРП) для снабжения энергетических котлов природным газом;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административно-бытовой корпус (АБК);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кабельная галерея между ОРУ-110кВ УТЭЦ и ОРУ-110кВ ГПП-18;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lastRenderedPageBreak/>
        <w:t>переходной мост с кабельной галереей между главным корпусом и ГЩУ;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кабельный тоннель между главным корпусом и насосной станцией оборотного водоснабжения;</w:t>
      </w:r>
    </w:p>
    <w:p w:rsidR="00447CC4" w:rsidRPr="00D762E7" w:rsidRDefault="00447CC4" w:rsidP="00447CC4">
      <w:pPr>
        <w:pStyle w:val="a5"/>
        <w:numPr>
          <w:ilvl w:val="0"/>
          <w:numId w:val="3"/>
        </w:numPr>
        <w:spacing w:line="360" w:lineRule="auto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внутриплощадочные сети, коммуникации (в т.ч. технологические эстакады), автодороги. </w:t>
      </w:r>
    </w:p>
    <w:p w:rsidR="00447CC4" w:rsidRPr="00D762E7" w:rsidRDefault="00447CC4" w:rsidP="00447CC4">
      <w:pPr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Компоновочными и конструктивными решениями УТЭЦ предусмотрена возможность ее расширения одним котлом Е-220-9,8-540 ГД и одной </w:t>
      </w:r>
      <w:proofErr w:type="spellStart"/>
      <w:r w:rsidRPr="00D762E7">
        <w:rPr>
          <w:bCs/>
          <w:sz w:val="24"/>
          <w:szCs w:val="24"/>
          <w:lang w:val="ru-RU"/>
        </w:rPr>
        <w:t>паротурбогенераторной</w:t>
      </w:r>
      <w:proofErr w:type="spellEnd"/>
      <w:r w:rsidRPr="00D762E7">
        <w:rPr>
          <w:bCs/>
          <w:sz w:val="24"/>
          <w:szCs w:val="24"/>
          <w:lang w:val="ru-RU"/>
        </w:rPr>
        <w:t xml:space="preserve"> установкой с турбиной ПТ-40/50-8,8/1,3.</w:t>
      </w:r>
    </w:p>
    <w:p w:rsidR="00447CC4" w:rsidRPr="00D762E7" w:rsidRDefault="00447CC4" w:rsidP="00447CC4">
      <w:pPr>
        <w:shd w:val="clear" w:color="auto" w:fill="FFFFFF"/>
        <w:suppressAutoHyphens/>
        <w:spacing w:line="360" w:lineRule="auto"/>
        <w:ind w:right="34" w:firstLine="567"/>
        <w:jc w:val="both"/>
        <w:rPr>
          <w:sz w:val="24"/>
          <w:szCs w:val="24"/>
          <w:lang w:val="ru-RU"/>
        </w:rPr>
      </w:pPr>
      <w:r w:rsidRPr="00D762E7">
        <w:rPr>
          <w:spacing w:val="-5"/>
          <w:sz w:val="24"/>
          <w:szCs w:val="24"/>
          <w:lang w:val="ru-RU"/>
        </w:rPr>
        <w:t xml:space="preserve">При разработке проекта принята цеховая организационная структура </w:t>
      </w:r>
      <w:r w:rsidRPr="00D762E7">
        <w:rPr>
          <w:spacing w:val="-2"/>
          <w:sz w:val="24"/>
          <w:szCs w:val="24"/>
          <w:lang w:val="ru-RU"/>
        </w:rPr>
        <w:t xml:space="preserve">управления производством, которая предусматривает создание на УТЭЦ </w:t>
      </w:r>
      <w:r w:rsidRPr="00D762E7">
        <w:rPr>
          <w:spacing w:val="-1"/>
          <w:sz w:val="24"/>
          <w:szCs w:val="24"/>
          <w:lang w:val="ru-RU"/>
        </w:rPr>
        <w:t xml:space="preserve">специализированных подразделений (участков, служб и др.) по </w:t>
      </w:r>
      <w:r w:rsidRPr="00D762E7">
        <w:rPr>
          <w:sz w:val="24"/>
          <w:szCs w:val="24"/>
          <w:lang w:val="ru-RU"/>
        </w:rPr>
        <w:t>производственному принципу.</w:t>
      </w:r>
    </w:p>
    <w:p w:rsidR="00447CC4" w:rsidRPr="00D762E7" w:rsidRDefault="00447CC4" w:rsidP="00447CC4">
      <w:pPr>
        <w:shd w:val="clear" w:color="auto" w:fill="FFFFFF"/>
        <w:suppressAutoHyphens/>
        <w:spacing w:line="360" w:lineRule="auto"/>
        <w:ind w:right="11" w:firstLine="567"/>
        <w:jc w:val="both"/>
        <w:rPr>
          <w:sz w:val="24"/>
          <w:szCs w:val="24"/>
          <w:lang w:val="ru-RU"/>
        </w:rPr>
      </w:pPr>
      <w:r w:rsidRPr="00D762E7">
        <w:rPr>
          <w:spacing w:val="-2"/>
          <w:sz w:val="24"/>
          <w:szCs w:val="24"/>
          <w:lang w:val="ru-RU"/>
        </w:rPr>
        <w:t xml:space="preserve">В составе персонала, работающего на станции, предусматривается </w:t>
      </w:r>
      <w:r w:rsidRPr="00D762E7">
        <w:rPr>
          <w:spacing w:val="-1"/>
          <w:sz w:val="24"/>
          <w:szCs w:val="24"/>
          <w:lang w:val="ru-RU"/>
        </w:rPr>
        <w:t>административно-управленческий персонал (АУП), промышленно-</w:t>
      </w:r>
      <w:r w:rsidRPr="00D762E7">
        <w:rPr>
          <w:sz w:val="24"/>
          <w:szCs w:val="24"/>
          <w:lang w:val="ru-RU"/>
        </w:rPr>
        <w:t>производственный персонал (ППП), в том числе эксплуатационный.</w:t>
      </w:r>
    </w:p>
    <w:p w:rsidR="00447CC4" w:rsidRPr="00D762E7" w:rsidRDefault="00447CC4" w:rsidP="00447CC4">
      <w:pPr>
        <w:shd w:val="clear" w:color="auto" w:fill="FFFFFF"/>
        <w:suppressAutoHyphens/>
        <w:spacing w:before="5" w:line="360" w:lineRule="auto"/>
        <w:ind w:right="23" w:firstLine="567"/>
        <w:jc w:val="both"/>
        <w:rPr>
          <w:sz w:val="24"/>
          <w:szCs w:val="24"/>
          <w:lang w:val="ru-RU"/>
        </w:rPr>
      </w:pPr>
      <w:r w:rsidRPr="00D762E7">
        <w:rPr>
          <w:spacing w:val="-2"/>
          <w:sz w:val="24"/>
          <w:szCs w:val="24"/>
          <w:lang w:val="ru-RU"/>
        </w:rPr>
        <w:t xml:space="preserve">Организационная структура управления и штатное расписание окончательно устанавливаются руководством УТЭЦ в ходе </w:t>
      </w:r>
      <w:r w:rsidRPr="00D762E7">
        <w:rPr>
          <w:spacing w:val="-1"/>
          <w:sz w:val="24"/>
          <w:szCs w:val="24"/>
          <w:lang w:val="ru-RU"/>
        </w:rPr>
        <w:t>строительства и пусконаладочных работ с учетом также общей структуры НЛМК</w:t>
      </w:r>
      <w:r w:rsidRPr="00D762E7">
        <w:rPr>
          <w:sz w:val="24"/>
          <w:szCs w:val="24"/>
          <w:lang w:val="ru-RU"/>
        </w:rPr>
        <w:t xml:space="preserve">. Определение положения </w:t>
      </w:r>
      <w:r w:rsidRPr="00D762E7">
        <w:rPr>
          <w:spacing w:val="-1"/>
          <w:sz w:val="24"/>
          <w:szCs w:val="24"/>
          <w:lang w:val="ru-RU"/>
        </w:rPr>
        <w:t xml:space="preserve">вспомогательного персонала (включение в штат или привлечение на </w:t>
      </w:r>
      <w:r w:rsidRPr="00D762E7">
        <w:rPr>
          <w:spacing w:val="-3"/>
          <w:sz w:val="24"/>
          <w:szCs w:val="24"/>
          <w:lang w:val="ru-RU"/>
        </w:rPr>
        <w:t xml:space="preserve">контрактной основе) также является прерогативой руководства </w:t>
      </w:r>
      <w:r w:rsidRPr="00D762E7">
        <w:rPr>
          <w:spacing w:val="-1"/>
          <w:sz w:val="24"/>
          <w:szCs w:val="24"/>
          <w:lang w:val="ru-RU"/>
        </w:rPr>
        <w:t>НЛМК</w:t>
      </w:r>
      <w:r w:rsidRPr="00D762E7">
        <w:rPr>
          <w:sz w:val="24"/>
          <w:szCs w:val="24"/>
          <w:lang w:val="ru-RU"/>
        </w:rPr>
        <w:t>.</w:t>
      </w:r>
    </w:p>
    <w:p w:rsidR="00447CC4" w:rsidRPr="00D762E7" w:rsidRDefault="00447CC4" w:rsidP="00447CC4">
      <w:pPr>
        <w:shd w:val="clear" w:color="auto" w:fill="FFFFFF"/>
        <w:suppressAutoHyphens/>
        <w:spacing w:before="5" w:line="360" w:lineRule="auto"/>
        <w:ind w:right="23"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Общее руководство производством УТЭЦ </w:t>
      </w:r>
      <w:r w:rsidRPr="00D762E7">
        <w:rPr>
          <w:spacing w:val="-1"/>
          <w:sz w:val="24"/>
          <w:szCs w:val="24"/>
          <w:lang w:val="ru-RU"/>
        </w:rPr>
        <w:t>НЛМК</w:t>
      </w:r>
      <w:r w:rsidRPr="00D762E7">
        <w:rPr>
          <w:sz w:val="24"/>
          <w:szCs w:val="24"/>
          <w:lang w:val="ru-RU"/>
        </w:rPr>
        <w:t xml:space="preserve"> осуществляет начальник УТЭЦ с помощью подразделений административно-управленческого персонала (АУП).</w:t>
      </w:r>
    </w:p>
    <w:p w:rsidR="00447CC4" w:rsidRPr="00D762E7" w:rsidRDefault="00447CC4" w:rsidP="00447CC4">
      <w:pPr>
        <w:shd w:val="clear" w:color="auto" w:fill="FFFFFF"/>
        <w:suppressAutoHyphens/>
        <w:spacing w:line="360" w:lineRule="auto"/>
        <w:ind w:right="10"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Функции штатных подразделений и должностных лиц должны определяться соответствующими Положениями, должностными и производственными Инструкциями.</w:t>
      </w:r>
    </w:p>
    <w:p w:rsidR="00447CC4" w:rsidRPr="00D762E7" w:rsidRDefault="00447CC4" w:rsidP="00447CC4">
      <w:pPr>
        <w:shd w:val="clear" w:color="auto" w:fill="FFFFFF"/>
        <w:suppressAutoHyphens/>
        <w:spacing w:before="5" w:line="360" w:lineRule="auto"/>
        <w:ind w:right="34" w:firstLine="567"/>
        <w:jc w:val="both"/>
        <w:rPr>
          <w:spacing w:val="-1"/>
          <w:sz w:val="24"/>
          <w:szCs w:val="24"/>
          <w:lang w:val="ru-RU"/>
        </w:rPr>
      </w:pPr>
      <w:r w:rsidRPr="00D762E7">
        <w:rPr>
          <w:spacing w:val="-3"/>
          <w:sz w:val="24"/>
          <w:szCs w:val="24"/>
          <w:lang w:val="ru-RU"/>
        </w:rPr>
        <w:t xml:space="preserve">В составе персонала предусматривается создание </w:t>
      </w:r>
      <w:r w:rsidRPr="00D762E7">
        <w:rPr>
          <w:spacing w:val="-1"/>
          <w:sz w:val="24"/>
          <w:szCs w:val="24"/>
          <w:lang w:val="ru-RU"/>
        </w:rPr>
        <w:t xml:space="preserve">специализированных подразделений (участков, служб и др.) </w:t>
      </w:r>
    </w:p>
    <w:p w:rsidR="00447CC4" w:rsidRPr="00D762E7" w:rsidRDefault="00447CC4" w:rsidP="00447CC4">
      <w:pPr>
        <w:pStyle w:val="aa"/>
        <w:suppressAutoHyphens/>
        <w:spacing w:after="0" w:line="360" w:lineRule="auto"/>
        <w:ind w:left="0"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С учетом сменности работы и резерва оперативного персонала (один резерв на каждую должность) штатная численность УТЭЦ составит – 270 чел.</w:t>
      </w:r>
    </w:p>
    <w:p w:rsidR="00447CC4" w:rsidRPr="00D762E7" w:rsidRDefault="00447CC4" w:rsidP="00447CC4">
      <w:pPr>
        <w:shd w:val="clear" w:color="auto" w:fill="FFFFFF"/>
        <w:suppressAutoHyphens/>
        <w:spacing w:before="5" w:line="360" w:lineRule="auto"/>
        <w:ind w:right="23"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Структура управления УТЭЦ представлена на рисунке 1.</w:t>
      </w:r>
    </w:p>
    <w:p w:rsidR="00447CC4" w:rsidRPr="00D762E7" w:rsidRDefault="00447CC4" w:rsidP="00447CC4">
      <w:pPr>
        <w:shd w:val="clear" w:color="auto" w:fill="FFFFFF"/>
        <w:suppressAutoHyphens/>
        <w:spacing w:before="5" w:line="360" w:lineRule="auto"/>
        <w:ind w:right="23"/>
        <w:jc w:val="both"/>
        <w:rPr>
          <w:sz w:val="24"/>
          <w:szCs w:val="24"/>
          <w:lang w:val="ru-RU"/>
        </w:rPr>
        <w:sectPr w:rsidR="00447CC4" w:rsidRPr="00D762E7" w:rsidSect="00EC65BF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447CC4" w:rsidRPr="00D762E7" w:rsidRDefault="001954A8" w:rsidP="00D07EC4">
      <w:pPr>
        <w:shd w:val="clear" w:color="auto" w:fill="FFFFFF"/>
        <w:suppressAutoHyphens/>
        <w:spacing w:before="5" w:line="360" w:lineRule="auto"/>
        <w:ind w:right="23" w:firstLine="567"/>
        <w:jc w:val="both"/>
        <w:rPr>
          <w:sz w:val="24"/>
          <w:szCs w:val="24"/>
          <w:lang w:val="ru-RU"/>
        </w:rPr>
        <w:sectPr w:rsidR="00447CC4" w:rsidRPr="00D762E7" w:rsidSect="00F7551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9886950" cy="58578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EC4">
        <w:rPr>
          <w:sz w:val="24"/>
          <w:szCs w:val="24"/>
          <w:lang w:val="ru-RU"/>
        </w:rPr>
        <w:t xml:space="preserve">     </w:t>
      </w:r>
      <w:r w:rsidR="00447CC4" w:rsidRPr="00D762E7">
        <w:rPr>
          <w:sz w:val="24"/>
          <w:szCs w:val="24"/>
          <w:lang w:val="ru-RU"/>
        </w:rPr>
        <w:t xml:space="preserve"> </w:t>
      </w:r>
      <w:r w:rsidR="00D07EC4">
        <w:rPr>
          <w:sz w:val="24"/>
          <w:szCs w:val="24"/>
          <w:lang w:val="ru-RU"/>
        </w:rPr>
        <w:t>Рисунок</w:t>
      </w:r>
      <w:proofErr w:type="gramStart"/>
      <w:r w:rsidR="00D07EC4">
        <w:rPr>
          <w:sz w:val="24"/>
          <w:szCs w:val="24"/>
          <w:lang w:val="ru-RU"/>
        </w:rPr>
        <w:t>1</w:t>
      </w:r>
      <w:proofErr w:type="gramEnd"/>
    </w:p>
    <w:p w:rsidR="00447CC4" w:rsidRPr="00BE7D9A" w:rsidRDefault="0083181A" w:rsidP="00D07EC4">
      <w:pPr>
        <w:spacing w:line="360" w:lineRule="auto"/>
        <w:rPr>
          <w:b/>
          <w:sz w:val="28"/>
          <w:szCs w:val="28"/>
          <w:lang w:val="ru-RU"/>
        </w:rPr>
      </w:pPr>
      <w:r w:rsidRPr="00BE7D9A">
        <w:rPr>
          <w:b/>
          <w:sz w:val="28"/>
          <w:szCs w:val="28"/>
          <w:lang w:val="ru-RU"/>
        </w:rPr>
        <w:lastRenderedPageBreak/>
        <w:t>2.2. Организация производственного процесса в УТЭЦ и схема технологического процесса</w:t>
      </w:r>
      <w:r w:rsidR="00BE7D9A">
        <w:rPr>
          <w:b/>
          <w:sz w:val="28"/>
          <w:szCs w:val="28"/>
          <w:lang w:val="ru-RU"/>
        </w:rPr>
        <w:t>.</w:t>
      </w:r>
    </w:p>
    <w:p w:rsidR="00447CC4" w:rsidRPr="00D762E7" w:rsidRDefault="00447CC4" w:rsidP="00447CC4">
      <w:pPr>
        <w:spacing w:line="360" w:lineRule="auto"/>
        <w:ind w:firstLine="567"/>
        <w:rPr>
          <w:sz w:val="24"/>
          <w:szCs w:val="24"/>
          <w:lang w:val="ru-RU"/>
        </w:rPr>
      </w:pP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Основной технической концепцией строительства УТЭЦ является использование экономически эффективного теплоэнергетического оборудования для утилизации доменного газа и обеспечения потребностей ОАО «НЛМК».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Основными видами </w:t>
      </w:r>
      <w:proofErr w:type="gramStart"/>
      <w:r w:rsidRPr="00D762E7">
        <w:rPr>
          <w:bCs/>
          <w:sz w:val="24"/>
          <w:szCs w:val="24"/>
          <w:lang w:val="ru-RU"/>
        </w:rPr>
        <w:t>продукции, выпускаемой УТЭЦ являются</w:t>
      </w:r>
      <w:proofErr w:type="gramEnd"/>
      <w:r w:rsidRPr="00D762E7">
        <w:rPr>
          <w:bCs/>
          <w:sz w:val="24"/>
          <w:szCs w:val="24"/>
          <w:lang w:val="ru-RU"/>
        </w:rPr>
        <w:t>: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1) Электрическая энергия мощностью 150 МВт, напряжением 110 кВ, частотой переменного тока 50 Гц;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2) Тепловая энергия в виде: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- пара на производство давлением 1,2 МПа, температурой 250 </w:t>
      </w:r>
      <w:r w:rsidRPr="00D762E7">
        <w:rPr>
          <w:bCs/>
          <w:sz w:val="24"/>
          <w:szCs w:val="24"/>
          <w:vertAlign w:val="superscript"/>
          <w:lang w:val="ru-RU"/>
        </w:rPr>
        <w:t>0</w:t>
      </w:r>
      <w:r w:rsidRPr="00D762E7">
        <w:rPr>
          <w:bCs/>
          <w:sz w:val="24"/>
          <w:szCs w:val="24"/>
          <w:lang w:val="ru-RU"/>
        </w:rPr>
        <w:t>С;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- сетевой воды с тепловой мощностью до 115 Гкал/</w:t>
      </w:r>
      <w:proofErr w:type="gramStart"/>
      <w:r w:rsidRPr="00D762E7">
        <w:rPr>
          <w:bCs/>
          <w:sz w:val="24"/>
          <w:szCs w:val="24"/>
          <w:lang w:val="ru-RU"/>
        </w:rPr>
        <w:t>ч</w:t>
      </w:r>
      <w:proofErr w:type="gramEnd"/>
      <w:r w:rsidRPr="00D762E7">
        <w:rPr>
          <w:bCs/>
          <w:sz w:val="24"/>
          <w:szCs w:val="24"/>
          <w:lang w:val="ru-RU"/>
        </w:rPr>
        <w:t xml:space="preserve"> и температурой до 105 </w:t>
      </w:r>
      <w:r w:rsidRPr="00D762E7">
        <w:rPr>
          <w:bCs/>
          <w:sz w:val="24"/>
          <w:szCs w:val="24"/>
          <w:vertAlign w:val="superscript"/>
          <w:lang w:val="ru-RU"/>
        </w:rPr>
        <w:t>0</w:t>
      </w:r>
      <w:r w:rsidRPr="00D762E7">
        <w:rPr>
          <w:bCs/>
          <w:sz w:val="24"/>
          <w:szCs w:val="24"/>
          <w:lang w:val="ru-RU"/>
        </w:rPr>
        <w:t>С.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Электрическая энергия вырабатывается в турбогенераторах ТТК-50-2У3-П паровых турбин ПТ-50/40-8,8/1,3 суммарной электрической мощностью на клеммах генераторов 150 МВт.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Тепловая энергия отдается потребителю в виде пара на производственные нужды с параметрами 1,2 МПа 250</w:t>
      </w:r>
      <w:r w:rsidRPr="00D762E7">
        <w:rPr>
          <w:bCs/>
          <w:sz w:val="24"/>
          <w:szCs w:val="24"/>
          <w:vertAlign w:val="superscript"/>
          <w:lang w:val="ru-RU"/>
        </w:rPr>
        <w:t>0</w:t>
      </w:r>
      <w:r w:rsidRPr="00D762E7">
        <w:rPr>
          <w:bCs/>
          <w:sz w:val="24"/>
          <w:szCs w:val="24"/>
          <w:lang w:val="ru-RU"/>
        </w:rPr>
        <w:t>С, расходом 120 т/ч и сетевой воды с тепловой мощностью до 115 Гкал/</w:t>
      </w:r>
      <w:proofErr w:type="gramStart"/>
      <w:r w:rsidRPr="00D762E7">
        <w:rPr>
          <w:bCs/>
          <w:sz w:val="24"/>
          <w:szCs w:val="24"/>
          <w:lang w:val="ru-RU"/>
        </w:rPr>
        <w:t>ч</w:t>
      </w:r>
      <w:proofErr w:type="gramEnd"/>
      <w:r w:rsidRPr="00D762E7">
        <w:rPr>
          <w:bCs/>
          <w:sz w:val="24"/>
          <w:szCs w:val="24"/>
          <w:lang w:val="ru-RU"/>
        </w:rPr>
        <w:t xml:space="preserve"> на отопление и вентиляцию и 9 Гкал/ч на горячее водоснабжение.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Рабочей средой в паровых турбинах является острый пар, производимый в паровых котлах в количестве 660 т/ч.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Для производства пара в паровых котлах используется смесь природного и доменного газов. </w:t>
      </w:r>
      <w:r w:rsidRPr="00D762E7">
        <w:rPr>
          <w:sz w:val="24"/>
          <w:szCs w:val="24"/>
          <w:lang w:val="ru-RU"/>
        </w:rPr>
        <w:t xml:space="preserve">Природный газ в количестве </w:t>
      </w:r>
      <w:r w:rsidRPr="00D762E7">
        <w:rPr>
          <w:bCs/>
          <w:sz w:val="24"/>
          <w:szCs w:val="24"/>
          <w:lang w:val="ru-RU"/>
        </w:rPr>
        <w:t>66</w:t>
      </w:r>
      <w:r w:rsidRPr="00D762E7">
        <w:rPr>
          <w:bCs/>
          <w:sz w:val="24"/>
          <w:szCs w:val="24"/>
        </w:rPr>
        <w:t> </w:t>
      </w:r>
      <w:r w:rsidRPr="00D762E7">
        <w:rPr>
          <w:bCs/>
          <w:sz w:val="24"/>
          <w:szCs w:val="24"/>
          <w:lang w:val="ru-RU"/>
        </w:rPr>
        <w:t>000 нм</w:t>
      </w:r>
      <w:r w:rsidRPr="00D762E7">
        <w:rPr>
          <w:bCs/>
          <w:sz w:val="24"/>
          <w:szCs w:val="24"/>
          <w:vertAlign w:val="superscript"/>
          <w:lang w:val="ru-RU"/>
        </w:rPr>
        <w:t>3</w:t>
      </w:r>
      <w:r w:rsidRPr="00D762E7">
        <w:rPr>
          <w:bCs/>
          <w:sz w:val="24"/>
          <w:szCs w:val="24"/>
          <w:lang w:val="ru-RU"/>
        </w:rPr>
        <w:t>/ч</w:t>
      </w:r>
      <w:r w:rsidRPr="00D762E7">
        <w:rPr>
          <w:sz w:val="24"/>
          <w:szCs w:val="24"/>
          <w:lang w:val="ru-RU"/>
        </w:rPr>
        <w:t xml:space="preserve"> подается от системы газоснабжения металлургического комбината по газопроводу высокого давления. Доменный газ поступает от доменной печи </w:t>
      </w:r>
      <w:r w:rsidRPr="00D762E7">
        <w:rPr>
          <w:bCs/>
          <w:sz w:val="24"/>
          <w:szCs w:val="24"/>
          <w:lang w:val="ru-RU"/>
        </w:rPr>
        <w:t xml:space="preserve">№ 7 ОАО «НЛМК» </w:t>
      </w:r>
      <w:r w:rsidRPr="00D762E7">
        <w:rPr>
          <w:sz w:val="24"/>
          <w:szCs w:val="24"/>
          <w:lang w:val="ru-RU"/>
        </w:rPr>
        <w:t xml:space="preserve">в количестве </w:t>
      </w:r>
      <w:r w:rsidRPr="00D762E7">
        <w:rPr>
          <w:bCs/>
          <w:sz w:val="24"/>
          <w:szCs w:val="24"/>
          <w:lang w:val="ru-RU"/>
        </w:rPr>
        <w:t>360</w:t>
      </w:r>
      <w:r w:rsidRPr="00D762E7">
        <w:rPr>
          <w:bCs/>
          <w:sz w:val="24"/>
          <w:szCs w:val="24"/>
        </w:rPr>
        <w:t> </w:t>
      </w:r>
      <w:r w:rsidRPr="00D762E7">
        <w:rPr>
          <w:bCs/>
          <w:sz w:val="24"/>
          <w:szCs w:val="24"/>
          <w:lang w:val="ru-RU"/>
        </w:rPr>
        <w:t>000 нм</w:t>
      </w:r>
      <w:r w:rsidRPr="00D762E7">
        <w:rPr>
          <w:bCs/>
          <w:sz w:val="24"/>
          <w:szCs w:val="24"/>
          <w:vertAlign w:val="superscript"/>
          <w:lang w:val="ru-RU"/>
        </w:rPr>
        <w:t>3</w:t>
      </w:r>
      <w:r w:rsidRPr="00D762E7">
        <w:rPr>
          <w:bCs/>
          <w:sz w:val="24"/>
          <w:szCs w:val="24"/>
          <w:lang w:val="ru-RU"/>
        </w:rPr>
        <w:t>/ч.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Для восполнения потерь в цикле паротурбинной установки и компенсации потерь пара производственного отбора предусмотрена подпитка обессоленной водой в количестве 150 м</w:t>
      </w:r>
      <w:r w:rsidRPr="00D762E7">
        <w:rPr>
          <w:bCs/>
          <w:sz w:val="24"/>
          <w:szCs w:val="24"/>
          <w:vertAlign w:val="superscript"/>
          <w:lang w:val="ru-RU"/>
        </w:rPr>
        <w:t>3</w:t>
      </w:r>
      <w:r w:rsidRPr="00D762E7">
        <w:rPr>
          <w:bCs/>
          <w:sz w:val="24"/>
          <w:szCs w:val="24"/>
          <w:lang w:val="ru-RU"/>
        </w:rPr>
        <w:t>/ч (без учета собственных нужд).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Для конденсации отработавшего пара в конденсаторах, для охлаждения вспомогательного оборудования используется циркуляционная вода из системы оборотного водоснабжения в количестве 27</w:t>
      </w:r>
      <w:r w:rsidRPr="00D762E7">
        <w:rPr>
          <w:bCs/>
          <w:sz w:val="24"/>
          <w:szCs w:val="24"/>
        </w:rPr>
        <w:t> </w:t>
      </w:r>
      <w:r w:rsidRPr="00D762E7">
        <w:rPr>
          <w:bCs/>
          <w:sz w:val="24"/>
          <w:szCs w:val="24"/>
          <w:lang w:val="ru-RU"/>
        </w:rPr>
        <w:t>000 м</w:t>
      </w:r>
      <w:r w:rsidRPr="00D762E7">
        <w:rPr>
          <w:bCs/>
          <w:sz w:val="24"/>
          <w:szCs w:val="24"/>
          <w:vertAlign w:val="superscript"/>
          <w:lang w:val="ru-RU"/>
        </w:rPr>
        <w:t>3</w:t>
      </w:r>
      <w:r w:rsidRPr="00D762E7">
        <w:rPr>
          <w:bCs/>
          <w:sz w:val="24"/>
          <w:szCs w:val="24"/>
          <w:lang w:val="ru-RU"/>
        </w:rPr>
        <w:t>/ч.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Подпитка тепловой сети осуществляется умягченной водой, подаваемой </w:t>
      </w:r>
      <w:proofErr w:type="gramStart"/>
      <w:r w:rsidRPr="00D762E7">
        <w:rPr>
          <w:bCs/>
          <w:sz w:val="24"/>
          <w:szCs w:val="24"/>
          <w:lang w:val="ru-RU"/>
        </w:rPr>
        <w:t>с</w:t>
      </w:r>
      <w:proofErr w:type="gramEnd"/>
      <w:r w:rsidRPr="00D762E7">
        <w:rPr>
          <w:bCs/>
          <w:sz w:val="24"/>
          <w:szCs w:val="24"/>
          <w:lang w:val="ru-RU"/>
        </w:rPr>
        <w:t xml:space="preserve"> существующей </w:t>
      </w:r>
      <w:proofErr w:type="spellStart"/>
      <w:r w:rsidRPr="00D762E7">
        <w:rPr>
          <w:bCs/>
          <w:sz w:val="24"/>
          <w:szCs w:val="24"/>
          <w:lang w:val="ru-RU"/>
        </w:rPr>
        <w:t>химводоочистки</w:t>
      </w:r>
      <w:proofErr w:type="spellEnd"/>
      <w:r w:rsidRPr="00D762E7">
        <w:rPr>
          <w:bCs/>
          <w:sz w:val="24"/>
          <w:szCs w:val="24"/>
          <w:lang w:val="ru-RU"/>
        </w:rPr>
        <w:t xml:space="preserve"> ОАО «НЛМК» в количестве 100 м</w:t>
      </w:r>
      <w:r w:rsidRPr="00D762E7">
        <w:rPr>
          <w:bCs/>
          <w:sz w:val="24"/>
          <w:szCs w:val="24"/>
          <w:vertAlign w:val="superscript"/>
          <w:lang w:val="ru-RU"/>
        </w:rPr>
        <w:t>3</w:t>
      </w:r>
      <w:r w:rsidRPr="00D762E7">
        <w:rPr>
          <w:bCs/>
          <w:sz w:val="24"/>
          <w:szCs w:val="24"/>
          <w:lang w:val="ru-RU"/>
        </w:rPr>
        <w:t>/ч.</w:t>
      </w:r>
    </w:p>
    <w:p w:rsidR="00447CC4" w:rsidRPr="00D762E7" w:rsidRDefault="00447CC4" w:rsidP="00447CC4">
      <w:pPr>
        <w:suppressAutoHyphens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Подробная схема производства УТЭЦ показана на рисунке 2.</w:t>
      </w:r>
    </w:p>
    <w:p w:rsidR="00447CC4" w:rsidRPr="00D762E7" w:rsidRDefault="00447CC4" w:rsidP="00447CC4">
      <w:pPr>
        <w:suppressAutoHyphens/>
        <w:spacing w:line="360" w:lineRule="auto"/>
        <w:jc w:val="both"/>
        <w:rPr>
          <w:bCs/>
          <w:sz w:val="24"/>
          <w:szCs w:val="24"/>
          <w:lang w:val="ru-RU"/>
        </w:rPr>
        <w:sectPr w:rsidR="00447CC4" w:rsidRPr="00D762E7" w:rsidSect="00F75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051" w:rsidRDefault="001954A8" w:rsidP="00D07EC4">
      <w:pPr>
        <w:suppressAutoHyphens/>
        <w:spacing w:line="360" w:lineRule="auto"/>
        <w:ind w:left="284" w:firstLine="567"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9372600" cy="5753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C4" w:rsidRPr="00D07EC4" w:rsidRDefault="00447CC4" w:rsidP="00D07EC4">
      <w:pPr>
        <w:suppressAutoHyphens/>
        <w:spacing w:line="360" w:lineRule="auto"/>
        <w:ind w:left="284" w:firstLine="567"/>
        <w:jc w:val="both"/>
        <w:rPr>
          <w:bCs/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Рисунок 2. Схема производства УТЭЦ</w:t>
      </w:r>
    </w:p>
    <w:p w:rsidR="00447CC4" w:rsidRPr="00D762E7" w:rsidRDefault="00447CC4" w:rsidP="00447CC4">
      <w:pPr>
        <w:spacing w:line="360" w:lineRule="auto"/>
        <w:rPr>
          <w:sz w:val="24"/>
          <w:szCs w:val="24"/>
          <w:lang w:val="ru-RU"/>
        </w:rPr>
        <w:sectPr w:rsidR="00447CC4" w:rsidRPr="00D762E7" w:rsidSect="00F75510">
          <w:pgSz w:w="16838" w:h="11906" w:orient="landscape"/>
          <w:pgMar w:top="1134" w:right="284" w:bottom="284" w:left="284" w:header="709" w:footer="709" w:gutter="0"/>
          <w:cols w:space="708"/>
          <w:docGrid w:linePitch="360"/>
        </w:sectPr>
      </w:pPr>
    </w:p>
    <w:p w:rsidR="0083181A" w:rsidRDefault="00447CC4" w:rsidP="0083181A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lastRenderedPageBreak/>
        <w:t>В качестве основного топлива применяется смесь низкокалорийного доменного и природного газов.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На электростанции устанавливаются три котла Е-220-9,8-540 ГД, предназначенных для работы на доменном и природном газе, три паровые турбины ПТ-40/50-8,8/1,3, три турбогенератора ТТК-50-2У3-П, вспомогательное технологическое оборудование, трубопроводы и запорно-регулирующая арматура, электрическое оборудование, приборы и системы управления.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Система циркуляционного водоснабжения основного (турбинного) и вспомогательного оборудования принята оборотной.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Режим работы системы охлаждения – замкнутый, с охлаждением циркуляционной воды в </w:t>
      </w:r>
      <w:proofErr w:type="spellStart"/>
      <w:r w:rsidRPr="00D762E7">
        <w:rPr>
          <w:bCs/>
          <w:sz w:val="24"/>
          <w:szCs w:val="24"/>
          <w:lang w:val="ru-RU"/>
        </w:rPr>
        <w:t>вентиляторных</w:t>
      </w:r>
      <w:proofErr w:type="spellEnd"/>
      <w:r w:rsidRPr="00D762E7">
        <w:rPr>
          <w:bCs/>
          <w:sz w:val="24"/>
          <w:szCs w:val="24"/>
          <w:lang w:val="ru-RU"/>
        </w:rPr>
        <w:t xml:space="preserve"> градирнях.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Тепловая схема УТЭЦ мощностью 150 МВт обеспечивает режимы нормальной эксплуатации, планового и аварийного останова турбин, пуска турбин из любого теплового состояния.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Для обеспечения резервирования оборудования по тепловой мощности и утилизации тепла доменного газа, тепловая схема станции выполнена с поперечными связями.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Из котлов свежий пар с давлением 9,8 МПа и температурой 540°</w:t>
      </w:r>
      <w:r w:rsidRPr="00D762E7">
        <w:rPr>
          <w:bCs/>
          <w:sz w:val="24"/>
          <w:szCs w:val="24"/>
        </w:rPr>
        <w:t>C</w:t>
      </w:r>
      <w:r w:rsidRPr="00D762E7">
        <w:rPr>
          <w:bCs/>
          <w:sz w:val="24"/>
          <w:szCs w:val="24"/>
          <w:lang w:val="ru-RU"/>
        </w:rPr>
        <w:t xml:space="preserve"> подводится к </w:t>
      </w:r>
      <w:proofErr w:type="spellStart"/>
      <w:r w:rsidRPr="00D762E7">
        <w:rPr>
          <w:bCs/>
          <w:sz w:val="24"/>
          <w:szCs w:val="24"/>
          <w:lang w:val="ru-RU"/>
        </w:rPr>
        <w:t>стопорно-регулирующим</w:t>
      </w:r>
      <w:proofErr w:type="spellEnd"/>
      <w:r w:rsidRPr="00D762E7">
        <w:rPr>
          <w:bCs/>
          <w:sz w:val="24"/>
          <w:szCs w:val="24"/>
          <w:lang w:val="ru-RU"/>
        </w:rPr>
        <w:t xml:space="preserve"> клапанам турбин. Пройдя все ступени турбин, отработанный пар попадает в конденсаторы.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Охлаждение конденсаторов турбин осуществляется оборотной циркуляционной водой, подаваемой от циркуляционной насосной станции.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Охлаждение циркуляционной воды производится в </w:t>
      </w:r>
      <w:proofErr w:type="spellStart"/>
      <w:r w:rsidRPr="00D762E7">
        <w:rPr>
          <w:bCs/>
          <w:sz w:val="24"/>
          <w:szCs w:val="24"/>
          <w:lang w:val="ru-RU"/>
        </w:rPr>
        <w:t>вентиляторных</w:t>
      </w:r>
      <w:proofErr w:type="spellEnd"/>
      <w:r w:rsidRPr="00D762E7">
        <w:rPr>
          <w:bCs/>
          <w:sz w:val="24"/>
          <w:szCs w:val="24"/>
          <w:lang w:val="ru-RU"/>
        </w:rPr>
        <w:t xml:space="preserve"> градирнях.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Схемой предусматриваются теплофикационные отборы пара из турбин на бойлерную установку и производственные отборы пара потребителям давлением 1,2</w:t>
      </w:r>
      <w:r w:rsidRPr="00D762E7">
        <w:rPr>
          <w:bCs/>
          <w:sz w:val="24"/>
          <w:szCs w:val="24"/>
        </w:rPr>
        <w:t> </w:t>
      </w:r>
      <w:r w:rsidRPr="00D762E7">
        <w:rPr>
          <w:bCs/>
          <w:sz w:val="24"/>
          <w:szCs w:val="24"/>
          <w:lang w:val="ru-RU"/>
        </w:rPr>
        <w:t>МПа.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Для подачи пара потребителям в период пуска, останова и при сбросах нагрузки предусматриваются три РОУ 9,9/1,2 (100/13 </w:t>
      </w:r>
      <w:proofErr w:type="spellStart"/>
      <w:r w:rsidRPr="00D762E7">
        <w:rPr>
          <w:bCs/>
          <w:sz w:val="24"/>
          <w:szCs w:val="24"/>
          <w:lang w:val="ru-RU"/>
        </w:rPr>
        <w:t>ата</w:t>
      </w:r>
      <w:proofErr w:type="spellEnd"/>
      <w:r w:rsidRPr="00D762E7">
        <w:rPr>
          <w:bCs/>
          <w:sz w:val="24"/>
          <w:szCs w:val="24"/>
          <w:lang w:val="ru-RU"/>
        </w:rPr>
        <w:t>).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Отработанный в турбине пар конденсируется в конденсаторе, основной конденсат с помощью конденсатных насосов через охладители эжекторов и подогреватели низкого давления направляется в деаэраторы.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Из деаэраторов питательная вода питательными насосами (устанавливается пять </w:t>
      </w:r>
      <w:proofErr w:type="spellStart"/>
      <w:r w:rsidRPr="00D762E7">
        <w:rPr>
          <w:bCs/>
          <w:sz w:val="24"/>
          <w:szCs w:val="24"/>
          <w:lang w:val="ru-RU"/>
        </w:rPr>
        <w:t>ПЭНов</w:t>
      </w:r>
      <w:proofErr w:type="spellEnd"/>
      <w:r w:rsidRPr="00D762E7">
        <w:rPr>
          <w:bCs/>
          <w:sz w:val="24"/>
          <w:szCs w:val="24"/>
          <w:lang w:val="ru-RU"/>
        </w:rPr>
        <w:t>) через подогреватели высокого давления подается в котлы. Насосы обеспечивают необходимый расход питательной воды в различных режимах работы. Каждый питательный насос имеет линию рециркуляции, обеспечивающую работу питательных насосов на низких нагрузках.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lastRenderedPageBreak/>
        <w:t xml:space="preserve">Пар на ПНД-1, ПНД-3, ПВД-5 поступает из нерегулируемых отборов турбины, на ПНД-2 из теплофикационного отбора, на ПВД-4 из производственного отбора. 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Уровень питательной воды в деаэраторах поддерживается регулирующими клапанами питания.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Восполнение потерь в цикле и заполнение конденсаторов производится обессоленной водой от двух баков запаса обессоленной воды.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Для первоначального пуска турбины используется пар, подаваемый по трубопроводу от существующей ТЭЦ давлением 1,3 МПа и расходом до 50 т/ч.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Централизованная система </w:t>
      </w:r>
      <w:proofErr w:type="spellStart"/>
      <w:r w:rsidRPr="00D762E7">
        <w:rPr>
          <w:bCs/>
          <w:sz w:val="24"/>
          <w:szCs w:val="24"/>
          <w:lang w:val="ru-RU"/>
        </w:rPr>
        <w:t>маслоснабжения</w:t>
      </w:r>
      <w:proofErr w:type="spellEnd"/>
      <w:r w:rsidRPr="00D762E7">
        <w:rPr>
          <w:bCs/>
          <w:sz w:val="24"/>
          <w:szCs w:val="24"/>
          <w:lang w:val="ru-RU"/>
        </w:rPr>
        <w:t xml:space="preserve"> обеспечивает смазку минеральным маслом марки Т-22 (допускается применение масла марки Тп-22с) подшипников турбин и генераторов, а также снабжение рабочим маслом гидравлические исполнительные части системы регулирования и защиты турбины.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Управление турбиной осуществляется с помощью электрогидравлической системы автоматического регулирования.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Рабочей жидкостью системы регулирования и управления является минеральное масло марки Т-22 (допускается применение масла марки Тп-22с).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Тепловая схема УТЭЦ состоит из ряда систем и установок, размещаемых как в здании главного корпуса, так и во вспомогательных зданиях и сооружениях: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</w:rPr>
      </w:pPr>
      <w:proofErr w:type="spellStart"/>
      <w:r w:rsidRPr="00D762E7">
        <w:rPr>
          <w:bCs/>
          <w:sz w:val="24"/>
          <w:szCs w:val="24"/>
        </w:rPr>
        <w:t>система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паропроводов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острого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пара</w:t>
      </w:r>
      <w:proofErr w:type="spellEnd"/>
      <w:r w:rsidRPr="00D762E7">
        <w:rPr>
          <w:bCs/>
          <w:sz w:val="24"/>
          <w:szCs w:val="24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</w:rPr>
      </w:pPr>
      <w:proofErr w:type="spellStart"/>
      <w:r w:rsidRPr="00D762E7">
        <w:rPr>
          <w:bCs/>
          <w:sz w:val="24"/>
          <w:szCs w:val="24"/>
        </w:rPr>
        <w:t>система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основного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конденсата</w:t>
      </w:r>
      <w:proofErr w:type="spellEnd"/>
      <w:r w:rsidRPr="00D762E7">
        <w:rPr>
          <w:bCs/>
          <w:sz w:val="24"/>
          <w:szCs w:val="24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</w:rPr>
      </w:pPr>
      <w:proofErr w:type="spellStart"/>
      <w:r w:rsidRPr="00D762E7">
        <w:rPr>
          <w:bCs/>
          <w:sz w:val="24"/>
          <w:szCs w:val="24"/>
        </w:rPr>
        <w:t>система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питательной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воды</w:t>
      </w:r>
      <w:proofErr w:type="spellEnd"/>
      <w:r w:rsidRPr="00D762E7">
        <w:rPr>
          <w:bCs/>
          <w:sz w:val="24"/>
          <w:szCs w:val="24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</w:rPr>
      </w:pPr>
      <w:proofErr w:type="spellStart"/>
      <w:r w:rsidRPr="00D762E7">
        <w:rPr>
          <w:bCs/>
          <w:sz w:val="24"/>
          <w:szCs w:val="24"/>
        </w:rPr>
        <w:t>система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паропроводов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собственных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нужд</w:t>
      </w:r>
      <w:proofErr w:type="spellEnd"/>
      <w:r w:rsidRPr="00D762E7">
        <w:rPr>
          <w:bCs/>
          <w:sz w:val="24"/>
          <w:szCs w:val="24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</w:rPr>
      </w:pPr>
      <w:proofErr w:type="spellStart"/>
      <w:r w:rsidRPr="00D762E7">
        <w:rPr>
          <w:bCs/>
          <w:sz w:val="24"/>
          <w:szCs w:val="24"/>
        </w:rPr>
        <w:t>система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трубопроводов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подпитки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цикла</w:t>
      </w:r>
      <w:proofErr w:type="spellEnd"/>
      <w:r w:rsidRPr="00D762E7">
        <w:rPr>
          <w:bCs/>
          <w:sz w:val="24"/>
          <w:szCs w:val="24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система циркуляционной и технической воды;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</w:rPr>
      </w:pPr>
      <w:proofErr w:type="spellStart"/>
      <w:r w:rsidRPr="00D762E7">
        <w:rPr>
          <w:bCs/>
          <w:sz w:val="24"/>
          <w:szCs w:val="24"/>
        </w:rPr>
        <w:t>система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отбора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проб</w:t>
      </w:r>
      <w:proofErr w:type="spellEnd"/>
      <w:r w:rsidRPr="00D762E7">
        <w:rPr>
          <w:bCs/>
          <w:sz w:val="24"/>
          <w:szCs w:val="24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1571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система смазки турбин и другие системы.</w:t>
      </w:r>
    </w:p>
    <w:p w:rsidR="00447CC4" w:rsidRPr="00D762E7" w:rsidRDefault="00447CC4" w:rsidP="00447CC4">
      <w:pPr>
        <w:pStyle w:val="aa"/>
        <w:suppressAutoHyphens/>
        <w:spacing w:after="0" w:line="360" w:lineRule="auto"/>
        <w:ind w:left="0" w:firstLine="567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Все системы представляют собой единый комплекс.</w:t>
      </w:r>
    </w:p>
    <w:p w:rsidR="00575051" w:rsidRDefault="00575051" w:rsidP="00447CC4">
      <w:pPr>
        <w:spacing w:line="360" w:lineRule="auto"/>
        <w:rPr>
          <w:sz w:val="24"/>
          <w:szCs w:val="24"/>
          <w:lang w:val="ru-RU"/>
        </w:rPr>
      </w:pPr>
    </w:p>
    <w:p w:rsidR="00575051" w:rsidRDefault="00575051" w:rsidP="00447CC4">
      <w:pPr>
        <w:spacing w:line="360" w:lineRule="auto"/>
        <w:rPr>
          <w:sz w:val="24"/>
          <w:szCs w:val="24"/>
          <w:lang w:val="ru-RU"/>
        </w:rPr>
      </w:pPr>
    </w:p>
    <w:p w:rsidR="00BE7D9A" w:rsidRDefault="00BE7D9A" w:rsidP="00A76D05">
      <w:pPr>
        <w:spacing w:line="360" w:lineRule="auto"/>
        <w:rPr>
          <w:b/>
          <w:sz w:val="28"/>
          <w:szCs w:val="28"/>
          <w:lang w:val="ru-RU"/>
        </w:rPr>
      </w:pPr>
    </w:p>
    <w:p w:rsidR="00BE7D9A" w:rsidRDefault="00BE7D9A" w:rsidP="00A76D05">
      <w:pPr>
        <w:spacing w:line="360" w:lineRule="auto"/>
        <w:rPr>
          <w:b/>
          <w:sz w:val="28"/>
          <w:szCs w:val="28"/>
          <w:lang w:val="ru-RU"/>
        </w:rPr>
      </w:pPr>
    </w:p>
    <w:p w:rsidR="00BE7D9A" w:rsidRDefault="00BE7D9A" w:rsidP="00A76D05">
      <w:pPr>
        <w:spacing w:line="360" w:lineRule="auto"/>
        <w:rPr>
          <w:b/>
          <w:sz w:val="28"/>
          <w:szCs w:val="28"/>
          <w:lang w:val="ru-RU"/>
        </w:rPr>
      </w:pPr>
    </w:p>
    <w:p w:rsidR="00BE7D9A" w:rsidRDefault="00BE7D9A" w:rsidP="00A76D05">
      <w:pPr>
        <w:spacing w:line="360" w:lineRule="auto"/>
        <w:rPr>
          <w:b/>
          <w:sz w:val="28"/>
          <w:szCs w:val="28"/>
          <w:lang w:val="ru-RU"/>
        </w:rPr>
      </w:pPr>
    </w:p>
    <w:p w:rsidR="00447CC4" w:rsidRPr="00BE7D9A" w:rsidRDefault="0083181A" w:rsidP="00A76D05">
      <w:pPr>
        <w:spacing w:line="360" w:lineRule="auto"/>
        <w:rPr>
          <w:b/>
          <w:sz w:val="28"/>
          <w:szCs w:val="28"/>
          <w:lang w:val="ru-RU"/>
        </w:rPr>
      </w:pPr>
      <w:r w:rsidRPr="00BE7D9A">
        <w:rPr>
          <w:b/>
          <w:sz w:val="28"/>
          <w:szCs w:val="28"/>
          <w:lang w:val="ru-RU"/>
        </w:rPr>
        <w:lastRenderedPageBreak/>
        <w:t>2.3. Рабочий фонд времени основного оборудования и его производительность</w:t>
      </w:r>
    </w:p>
    <w:p w:rsidR="00BE7D9A" w:rsidRDefault="00BE7D9A" w:rsidP="00575051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447CC4" w:rsidRPr="00D762E7" w:rsidRDefault="00447CC4" w:rsidP="00575051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К основному оборудованию УТЭЦ относ</w:t>
      </w:r>
      <w:r w:rsidRPr="00D762E7">
        <w:rPr>
          <w:bCs/>
          <w:sz w:val="24"/>
          <w:szCs w:val="24"/>
          <w:lang w:val="uk-UA"/>
        </w:rPr>
        <w:t>я</w:t>
      </w:r>
      <w:proofErr w:type="spellStart"/>
      <w:r w:rsidRPr="00D762E7">
        <w:rPr>
          <w:bCs/>
          <w:sz w:val="24"/>
          <w:szCs w:val="24"/>
          <w:lang w:val="ru-RU"/>
        </w:rPr>
        <w:t>тся</w:t>
      </w:r>
      <w:proofErr w:type="spellEnd"/>
      <w:r w:rsidRPr="00D762E7">
        <w:rPr>
          <w:bCs/>
          <w:sz w:val="24"/>
          <w:szCs w:val="24"/>
          <w:lang w:val="ru-RU"/>
        </w:rPr>
        <w:t xml:space="preserve">: </w:t>
      </w:r>
      <w:proofErr w:type="spellStart"/>
      <w:r w:rsidRPr="00D762E7">
        <w:rPr>
          <w:bCs/>
          <w:sz w:val="24"/>
          <w:szCs w:val="24"/>
          <w:lang w:val="uk-UA"/>
        </w:rPr>
        <w:t>паров</w:t>
      </w:r>
      <w:r w:rsidRPr="00D762E7">
        <w:rPr>
          <w:bCs/>
          <w:sz w:val="24"/>
          <w:szCs w:val="24"/>
          <w:lang w:val="ru-RU"/>
        </w:rPr>
        <w:t>ая</w:t>
      </w:r>
      <w:proofErr w:type="spellEnd"/>
      <w:r w:rsidRPr="00D762E7">
        <w:rPr>
          <w:bCs/>
          <w:sz w:val="24"/>
          <w:szCs w:val="24"/>
          <w:lang w:val="ru-RU"/>
        </w:rPr>
        <w:t xml:space="preserve"> турбина производства ОАО</w:t>
      </w:r>
      <w:r w:rsidRPr="00D762E7">
        <w:rPr>
          <w:bCs/>
          <w:sz w:val="24"/>
          <w:szCs w:val="24"/>
        </w:rPr>
        <w:t> </w:t>
      </w:r>
      <w:r w:rsidRPr="00D762E7">
        <w:rPr>
          <w:bCs/>
          <w:sz w:val="24"/>
          <w:szCs w:val="24"/>
          <w:lang w:val="ru-RU"/>
        </w:rPr>
        <w:t xml:space="preserve">«Калужского турбинного завода», турбогенератор производства ХК ОАО «Привод» </w:t>
      </w:r>
      <w:proofErr w:type="gramStart"/>
      <w:r w:rsidRPr="00D762E7">
        <w:rPr>
          <w:bCs/>
          <w:sz w:val="24"/>
          <w:szCs w:val="24"/>
          <w:lang w:val="ru-RU"/>
        </w:rPr>
        <w:t>г</w:t>
      </w:r>
      <w:proofErr w:type="gramEnd"/>
      <w:r w:rsidRPr="00D762E7">
        <w:rPr>
          <w:bCs/>
          <w:sz w:val="24"/>
          <w:szCs w:val="24"/>
          <w:lang w:val="ru-RU"/>
        </w:rPr>
        <w:t>. Лысьва, монтируемый на общем фундаменте с турбиной, паровой котел производства ПК «</w:t>
      </w:r>
      <w:proofErr w:type="spellStart"/>
      <w:r w:rsidRPr="00D762E7">
        <w:rPr>
          <w:bCs/>
          <w:sz w:val="24"/>
          <w:szCs w:val="24"/>
          <w:lang w:val="ru-RU"/>
        </w:rPr>
        <w:t>Сибэнергомаш</w:t>
      </w:r>
      <w:proofErr w:type="spellEnd"/>
      <w:r w:rsidRPr="00D762E7">
        <w:rPr>
          <w:bCs/>
          <w:sz w:val="24"/>
          <w:szCs w:val="24"/>
          <w:lang w:val="ru-RU"/>
        </w:rPr>
        <w:t>»</w:t>
      </w:r>
    </w:p>
    <w:p w:rsidR="00447CC4" w:rsidRPr="00D762E7" w:rsidRDefault="00447CC4" w:rsidP="00575051">
      <w:pPr>
        <w:spacing w:line="360" w:lineRule="auto"/>
        <w:ind w:firstLine="709"/>
        <w:jc w:val="both"/>
        <w:rPr>
          <w:bCs/>
          <w:sz w:val="24"/>
          <w:szCs w:val="24"/>
          <w:lang w:val="ru-RU"/>
        </w:rPr>
      </w:pPr>
      <w:proofErr w:type="spellStart"/>
      <w:r w:rsidRPr="00D762E7">
        <w:rPr>
          <w:bCs/>
          <w:sz w:val="24"/>
          <w:szCs w:val="24"/>
          <w:lang w:val="ru-RU"/>
        </w:rPr>
        <w:t>Барнаульского</w:t>
      </w:r>
      <w:proofErr w:type="spellEnd"/>
      <w:r w:rsidRPr="00D762E7">
        <w:rPr>
          <w:bCs/>
          <w:sz w:val="24"/>
          <w:szCs w:val="24"/>
          <w:lang w:val="ru-RU"/>
        </w:rPr>
        <w:t xml:space="preserve"> котельного завода.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Паровая турбина с производственным и теплофикационным регулируемыми отборами </w:t>
      </w:r>
      <w:proofErr w:type="gramStart"/>
      <w:r w:rsidRPr="00D762E7">
        <w:rPr>
          <w:sz w:val="24"/>
          <w:szCs w:val="24"/>
          <w:lang w:val="ru-RU"/>
        </w:rPr>
        <w:t>пара типа</w:t>
      </w:r>
      <w:proofErr w:type="gramEnd"/>
      <w:r w:rsidRPr="00D762E7">
        <w:rPr>
          <w:sz w:val="24"/>
          <w:szCs w:val="24"/>
          <w:lang w:val="ru-RU"/>
        </w:rPr>
        <w:t xml:space="preserve"> ПТ-40/50-8,8/1.</w:t>
      </w:r>
      <w:r w:rsidRPr="00D762E7">
        <w:rPr>
          <w:bCs/>
          <w:sz w:val="24"/>
          <w:szCs w:val="24"/>
          <w:lang w:val="ru-RU"/>
        </w:rPr>
        <w:t xml:space="preserve"> Турбина – одноцилиндровая. Камерами регулируемых отборов турбина делится на часть высокого давления (ЧВД), часть среднего давления (ЧСД) и часть низкого давления (ЧНД).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ЧВД состоит из восьми ступеней, ЧСД – из семи ступеней, ЧНД – из четырех ступеней.</w:t>
      </w:r>
    </w:p>
    <w:p w:rsidR="00447CC4" w:rsidRPr="00D762E7" w:rsidRDefault="00447CC4" w:rsidP="00447CC4">
      <w:pPr>
        <w:spacing w:line="360" w:lineRule="auto"/>
        <w:ind w:firstLine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Основные характеристики паровой турбины:</w:t>
      </w:r>
    </w:p>
    <w:p w:rsidR="00447CC4" w:rsidRPr="00D762E7" w:rsidRDefault="00447CC4" w:rsidP="00447CC4">
      <w:pPr>
        <w:numPr>
          <w:ilvl w:val="0"/>
          <w:numId w:val="5"/>
        </w:numPr>
        <w:tabs>
          <w:tab w:val="left" w:pos="1418"/>
        </w:tabs>
        <w:spacing w:line="360" w:lineRule="auto"/>
        <w:ind w:left="1418" w:right="-1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максимальная электрическая мощность в конденсационном режиме (без отборов пара сверх регенерации) – 50 МВт;</w:t>
      </w:r>
    </w:p>
    <w:p w:rsidR="00447CC4" w:rsidRPr="00D762E7" w:rsidRDefault="00447CC4" w:rsidP="00447CC4">
      <w:pPr>
        <w:numPr>
          <w:ilvl w:val="0"/>
          <w:numId w:val="5"/>
        </w:numPr>
        <w:tabs>
          <w:tab w:val="left" w:pos="1418"/>
        </w:tabs>
        <w:spacing w:line="360" w:lineRule="auto"/>
        <w:ind w:left="1418" w:right="-1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номинальная электрическая мощность в режиме с максимальными отборами пара на производство и теплофикацию – 40 МВт;</w:t>
      </w:r>
    </w:p>
    <w:p w:rsidR="00447CC4" w:rsidRPr="00D762E7" w:rsidRDefault="00447CC4" w:rsidP="00447CC4">
      <w:pPr>
        <w:numPr>
          <w:ilvl w:val="0"/>
          <w:numId w:val="5"/>
        </w:numPr>
        <w:tabs>
          <w:tab w:val="left" w:pos="1418"/>
        </w:tabs>
        <w:spacing w:line="360" w:lineRule="auto"/>
        <w:ind w:left="1418" w:right="170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номинальные параметры:</w:t>
      </w:r>
    </w:p>
    <w:p w:rsidR="00447CC4" w:rsidRPr="00D762E7" w:rsidRDefault="00447CC4" w:rsidP="00447CC4">
      <w:pPr>
        <w:tabs>
          <w:tab w:val="left" w:pos="1843"/>
        </w:tabs>
        <w:spacing w:line="360" w:lineRule="auto"/>
        <w:ind w:left="1418" w:right="170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а) </w:t>
      </w:r>
      <w:r w:rsidRPr="00D762E7">
        <w:rPr>
          <w:sz w:val="24"/>
          <w:szCs w:val="24"/>
          <w:lang w:val="ru-RU"/>
        </w:rPr>
        <w:tab/>
        <w:t>давление – 8,9 МПа;</w:t>
      </w:r>
    </w:p>
    <w:p w:rsidR="00447CC4" w:rsidRPr="00D762E7" w:rsidRDefault="00447CC4" w:rsidP="00447CC4">
      <w:pPr>
        <w:tabs>
          <w:tab w:val="left" w:pos="1843"/>
        </w:tabs>
        <w:spacing w:line="360" w:lineRule="auto"/>
        <w:ind w:left="1418" w:right="170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б) </w:t>
      </w:r>
      <w:r w:rsidRPr="00D762E7">
        <w:rPr>
          <w:sz w:val="24"/>
          <w:szCs w:val="24"/>
          <w:lang w:val="ru-RU"/>
        </w:rPr>
        <w:tab/>
        <w:t>температура – 535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С;</w:t>
      </w:r>
    </w:p>
    <w:p w:rsidR="00447CC4" w:rsidRPr="00D762E7" w:rsidRDefault="00447CC4" w:rsidP="00447CC4">
      <w:pPr>
        <w:numPr>
          <w:ilvl w:val="0"/>
          <w:numId w:val="6"/>
        </w:numPr>
        <w:spacing w:line="360" w:lineRule="auto"/>
        <w:ind w:left="1418" w:right="-1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параметры пара регулируемого отбора на производственные нужды:</w:t>
      </w:r>
    </w:p>
    <w:p w:rsidR="00447CC4" w:rsidRPr="00D762E7" w:rsidRDefault="00447CC4" w:rsidP="00447CC4">
      <w:pPr>
        <w:tabs>
          <w:tab w:val="left" w:pos="1843"/>
        </w:tabs>
        <w:spacing w:line="360" w:lineRule="auto"/>
        <w:ind w:left="1418" w:right="170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а) </w:t>
      </w:r>
      <w:r w:rsidRPr="00D762E7">
        <w:rPr>
          <w:sz w:val="24"/>
          <w:szCs w:val="24"/>
          <w:lang w:val="ru-RU"/>
        </w:rPr>
        <w:tab/>
        <w:t xml:space="preserve">давление номинальное – 1,2 МПа; </w:t>
      </w:r>
    </w:p>
    <w:p w:rsidR="00447CC4" w:rsidRPr="00D762E7" w:rsidRDefault="00447CC4" w:rsidP="00447CC4">
      <w:pPr>
        <w:tabs>
          <w:tab w:val="left" w:pos="1843"/>
        </w:tabs>
        <w:spacing w:line="360" w:lineRule="auto"/>
        <w:ind w:left="1418" w:right="170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б) </w:t>
      </w:r>
      <w:r w:rsidRPr="00D762E7">
        <w:rPr>
          <w:sz w:val="24"/>
          <w:szCs w:val="24"/>
          <w:lang w:val="ru-RU"/>
        </w:rPr>
        <w:tab/>
        <w:t xml:space="preserve">номинальная температура – 293 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С;</w:t>
      </w:r>
    </w:p>
    <w:p w:rsidR="00447CC4" w:rsidRPr="00D762E7" w:rsidRDefault="00447CC4" w:rsidP="00447CC4">
      <w:pPr>
        <w:tabs>
          <w:tab w:val="left" w:pos="1843"/>
        </w:tabs>
        <w:spacing w:line="360" w:lineRule="auto"/>
        <w:ind w:left="1418" w:right="170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в) </w:t>
      </w:r>
      <w:r w:rsidRPr="00D762E7">
        <w:rPr>
          <w:sz w:val="24"/>
          <w:szCs w:val="24"/>
          <w:lang w:val="ru-RU"/>
        </w:rPr>
        <w:tab/>
        <w:t>расход номинальный - 40 т/час;</w:t>
      </w:r>
    </w:p>
    <w:p w:rsidR="00447CC4" w:rsidRPr="00D762E7" w:rsidRDefault="00447CC4" w:rsidP="00447CC4">
      <w:pPr>
        <w:numPr>
          <w:ilvl w:val="0"/>
          <w:numId w:val="6"/>
        </w:numPr>
        <w:spacing w:line="360" w:lineRule="auto"/>
        <w:ind w:left="1418" w:right="170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параметры пара регулируемого теплофикационного отбора:</w:t>
      </w:r>
    </w:p>
    <w:p w:rsidR="00447CC4" w:rsidRPr="00D762E7" w:rsidRDefault="00447CC4" w:rsidP="00447CC4">
      <w:pPr>
        <w:tabs>
          <w:tab w:val="left" w:pos="1843"/>
        </w:tabs>
        <w:spacing w:line="360" w:lineRule="auto"/>
        <w:ind w:left="1418" w:right="170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а) </w:t>
      </w:r>
      <w:r w:rsidRPr="00D762E7">
        <w:rPr>
          <w:sz w:val="24"/>
          <w:szCs w:val="24"/>
          <w:lang w:val="ru-RU"/>
        </w:rPr>
        <w:tab/>
        <w:t>давление номинальное – 0,12 МПа (</w:t>
      </w:r>
      <w:proofErr w:type="spellStart"/>
      <w:r w:rsidRPr="00D762E7">
        <w:rPr>
          <w:sz w:val="24"/>
          <w:szCs w:val="24"/>
          <w:lang w:val="ru-RU"/>
        </w:rPr>
        <w:t>абс</w:t>
      </w:r>
      <w:proofErr w:type="spellEnd"/>
      <w:r w:rsidRPr="00D762E7">
        <w:rPr>
          <w:sz w:val="24"/>
          <w:szCs w:val="24"/>
          <w:lang w:val="ru-RU"/>
        </w:rPr>
        <w:t>);</w:t>
      </w:r>
    </w:p>
    <w:p w:rsidR="0083181A" w:rsidRDefault="00447CC4" w:rsidP="0083181A">
      <w:pPr>
        <w:spacing w:line="360" w:lineRule="auto"/>
        <w:ind w:firstLine="1418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б) температура номинальная – 104 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С;</w:t>
      </w:r>
    </w:p>
    <w:p w:rsidR="00447CC4" w:rsidRPr="00D762E7" w:rsidRDefault="00447CC4" w:rsidP="00447CC4">
      <w:pPr>
        <w:tabs>
          <w:tab w:val="left" w:pos="1843"/>
        </w:tabs>
        <w:spacing w:line="360" w:lineRule="auto"/>
        <w:ind w:left="1418" w:right="170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в) </w:t>
      </w:r>
      <w:r w:rsidRPr="00D762E7">
        <w:rPr>
          <w:sz w:val="24"/>
          <w:szCs w:val="24"/>
          <w:lang w:val="ru-RU"/>
        </w:rPr>
        <w:tab/>
        <w:t>расход номинальный – 117,7 т/час;</w:t>
      </w:r>
    </w:p>
    <w:p w:rsidR="00447CC4" w:rsidRPr="00D762E7" w:rsidRDefault="00447CC4" w:rsidP="00447CC4">
      <w:pPr>
        <w:numPr>
          <w:ilvl w:val="0"/>
          <w:numId w:val="6"/>
        </w:numPr>
        <w:spacing w:line="360" w:lineRule="auto"/>
        <w:ind w:left="1418" w:right="170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номинальный расход охлаждающей воды на конденсатор – 8000 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>/час;</w:t>
      </w:r>
    </w:p>
    <w:p w:rsidR="00447CC4" w:rsidRPr="00D762E7" w:rsidRDefault="00447CC4" w:rsidP="00447CC4">
      <w:pPr>
        <w:numPr>
          <w:ilvl w:val="0"/>
          <w:numId w:val="6"/>
        </w:numPr>
        <w:spacing w:line="360" w:lineRule="auto"/>
        <w:ind w:left="1418" w:right="-1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температура охлаждающей воды, подаваемой в конденсатор – не более 33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С;</w:t>
      </w:r>
    </w:p>
    <w:p w:rsidR="00447CC4" w:rsidRPr="00D762E7" w:rsidRDefault="00447CC4" w:rsidP="00447CC4">
      <w:pPr>
        <w:numPr>
          <w:ilvl w:val="0"/>
          <w:numId w:val="6"/>
        </w:numPr>
        <w:spacing w:line="360" w:lineRule="auto"/>
        <w:ind w:left="1418" w:right="253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номинальный удельный расход тепла на выработку электроэнергии в конденсационном режиме работы турбины – 2357 ккал/кВтч.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lastRenderedPageBreak/>
        <w:t xml:space="preserve">Конденсатор выполнен </w:t>
      </w:r>
      <w:proofErr w:type="gramStart"/>
      <w:r w:rsidRPr="00D762E7">
        <w:rPr>
          <w:bCs/>
          <w:sz w:val="24"/>
          <w:szCs w:val="24"/>
          <w:lang w:val="ru-RU"/>
        </w:rPr>
        <w:t>одноходовым</w:t>
      </w:r>
      <w:proofErr w:type="gramEnd"/>
      <w:r w:rsidRPr="00D762E7">
        <w:rPr>
          <w:bCs/>
          <w:sz w:val="24"/>
          <w:szCs w:val="24"/>
          <w:lang w:val="ru-RU"/>
        </w:rPr>
        <w:t xml:space="preserve">, </w:t>
      </w:r>
      <w:proofErr w:type="spellStart"/>
      <w:r w:rsidRPr="00D762E7">
        <w:rPr>
          <w:bCs/>
          <w:sz w:val="24"/>
          <w:szCs w:val="24"/>
          <w:lang w:val="ru-RU"/>
        </w:rPr>
        <w:t>двухпоточным</w:t>
      </w:r>
      <w:proofErr w:type="spellEnd"/>
      <w:r w:rsidRPr="00D762E7">
        <w:rPr>
          <w:bCs/>
          <w:sz w:val="24"/>
          <w:szCs w:val="24"/>
          <w:lang w:val="ru-RU"/>
        </w:rPr>
        <w:t>. Конденсатор разделен вертикальной трубной доской на две половины. Это позволяет отключать одну из половин конденсатора в ремонт при работающей турбине, при этом нагрузка на турбине должна быть снижена до 50% - 60% номинальной.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Отсос паровоздушной смеси из конденсатора и концевых уплотнений турбины осуществляется пароструйными эжекторами.</w:t>
      </w:r>
    </w:p>
    <w:p w:rsidR="00447CC4" w:rsidRPr="00D762E7" w:rsidRDefault="00447CC4" w:rsidP="00575051">
      <w:pPr>
        <w:pStyle w:val="aa"/>
        <w:tabs>
          <w:tab w:val="left" w:pos="3119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Конденсатор поверхностного типа, материал трубок - латунь ЛО-70-1. Водяные камеры имеют по две </w:t>
      </w:r>
      <w:proofErr w:type="spellStart"/>
      <w:r w:rsidRPr="00D762E7">
        <w:rPr>
          <w:bCs/>
          <w:sz w:val="24"/>
          <w:szCs w:val="24"/>
          <w:lang w:val="ru-RU"/>
        </w:rPr>
        <w:t>полукрышки</w:t>
      </w:r>
      <w:proofErr w:type="spellEnd"/>
      <w:r w:rsidRPr="00D762E7">
        <w:rPr>
          <w:bCs/>
          <w:sz w:val="24"/>
          <w:szCs w:val="24"/>
          <w:lang w:val="ru-RU"/>
        </w:rPr>
        <w:t xml:space="preserve"> на петлях с лючками для осмотра внутренних полостей и трубной доски. Диаметр лючков 400 мм.</w:t>
      </w:r>
    </w:p>
    <w:p w:rsidR="00575051" w:rsidRPr="00B17815" w:rsidRDefault="00447CC4" w:rsidP="00575051">
      <w:pPr>
        <w:pStyle w:val="aa"/>
        <w:tabs>
          <w:tab w:val="left" w:pos="3119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Максимальная температура циркуляционной воды на входе в конденсатор должна быть не </w:t>
      </w:r>
      <w:r w:rsidRPr="00B17815">
        <w:rPr>
          <w:bCs/>
          <w:sz w:val="24"/>
          <w:szCs w:val="24"/>
          <w:lang w:val="ru-RU"/>
        </w:rPr>
        <w:t>более 33°С.</w:t>
      </w:r>
    </w:p>
    <w:p w:rsidR="0083181A" w:rsidRDefault="002323BC" w:rsidP="0083181A">
      <w:pPr>
        <w:pStyle w:val="aa"/>
        <w:tabs>
          <w:tab w:val="left" w:pos="3119"/>
        </w:tabs>
        <w:suppressAutoHyphens/>
        <w:spacing w:after="0" w:line="360" w:lineRule="auto"/>
        <w:ind w:left="0" w:firstLine="709"/>
        <w:jc w:val="both"/>
        <w:rPr>
          <w:sz w:val="24"/>
          <w:szCs w:val="24"/>
          <w:lang w:val="ru-RU"/>
        </w:rPr>
      </w:pPr>
      <w:r w:rsidRPr="002323BC">
        <w:rPr>
          <w:sz w:val="24"/>
          <w:szCs w:val="24"/>
          <w:lang w:val="ru-RU"/>
        </w:rPr>
        <w:t xml:space="preserve">Турбогенератор с воздушным охлаждением и </w:t>
      </w:r>
      <w:proofErr w:type="spellStart"/>
      <w:r w:rsidRPr="002323BC">
        <w:rPr>
          <w:sz w:val="24"/>
          <w:szCs w:val="24"/>
          <w:lang w:val="ru-RU"/>
        </w:rPr>
        <w:t>бесщеточным</w:t>
      </w:r>
      <w:proofErr w:type="spellEnd"/>
      <w:r w:rsidRPr="002323BC">
        <w:rPr>
          <w:sz w:val="24"/>
          <w:szCs w:val="24"/>
          <w:lang w:val="ru-RU"/>
        </w:rPr>
        <w:t xml:space="preserve"> возбуждением типа ТТК-50-2УЗ-П по</w:t>
      </w:r>
      <w:r w:rsidR="0083181A" w:rsidRPr="0083181A">
        <w:rPr>
          <w:sz w:val="24"/>
          <w:szCs w:val="24"/>
          <w:lang w:val="ru-RU"/>
        </w:rPr>
        <w:t xml:space="preserve">ставки ООО ТПК «Нефтегазовые системы», </w:t>
      </w:r>
      <w:proofErr w:type="gramStart"/>
      <w:r w:rsidR="0083181A" w:rsidRPr="0083181A">
        <w:rPr>
          <w:sz w:val="24"/>
          <w:szCs w:val="24"/>
          <w:lang w:val="ru-RU"/>
        </w:rPr>
        <w:t>г</w:t>
      </w:r>
      <w:proofErr w:type="gramEnd"/>
      <w:r w:rsidR="0083181A" w:rsidRPr="0083181A">
        <w:rPr>
          <w:sz w:val="24"/>
          <w:szCs w:val="24"/>
          <w:lang w:val="ru-RU"/>
        </w:rPr>
        <w:t xml:space="preserve">. Санкт-Петербург, изготовитель - ХК ОАО «Привод», г. Лысьва, предназначенный для выработки электроэнергии в продолжительном номинальном режиме работы </w:t>
      </w:r>
      <w:r w:rsidR="0083181A">
        <w:rPr>
          <w:sz w:val="24"/>
          <w:szCs w:val="24"/>
        </w:rPr>
        <w:t>S</w:t>
      </w:r>
      <w:r w:rsidR="0083181A">
        <w:rPr>
          <w:sz w:val="24"/>
          <w:szCs w:val="24"/>
          <w:lang w:val="ru-RU"/>
        </w:rPr>
        <w:t>1 по ГОСТ-183 при сопряжении с паровой турбиной ПТ-40/50-8,8/1,3.</w:t>
      </w:r>
    </w:p>
    <w:p w:rsidR="0083181A" w:rsidRPr="0083181A" w:rsidRDefault="0083181A" w:rsidP="0083181A">
      <w:pPr>
        <w:pStyle w:val="aa"/>
        <w:tabs>
          <w:tab w:val="left" w:pos="3119"/>
        </w:tabs>
        <w:suppressAutoHyphens/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генератора</w:t>
      </w:r>
      <w:proofErr w:type="spellEnd"/>
      <w:r>
        <w:rPr>
          <w:sz w:val="24"/>
          <w:szCs w:val="24"/>
        </w:rPr>
        <w:t>:</w:t>
      </w:r>
    </w:p>
    <w:p w:rsidR="0083181A" w:rsidRPr="0083181A" w:rsidRDefault="0083181A" w:rsidP="0083181A">
      <w:pPr>
        <w:pStyle w:val="6"/>
        <w:keepNext w:val="0"/>
        <w:numPr>
          <w:ilvl w:val="0"/>
          <w:numId w:val="7"/>
        </w:numPr>
        <w:tabs>
          <w:tab w:val="clear" w:pos="284"/>
        </w:tabs>
        <w:spacing w:line="360" w:lineRule="auto"/>
        <w:ind w:left="1276" w:right="170" w:hanging="283"/>
        <w:rPr>
          <w:b w:val="0"/>
          <w:sz w:val="24"/>
          <w:szCs w:val="24"/>
        </w:rPr>
      </w:pPr>
      <w:proofErr w:type="spellStart"/>
      <w:proofErr w:type="gramStart"/>
      <w:r w:rsidRPr="0083181A">
        <w:rPr>
          <w:b w:val="0"/>
          <w:sz w:val="24"/>
          <w:szCs w:val="24"/>
        </w:rPr>
        <w:t>номинальная</w:t>
      </w:r>
      <w:proofErr w:type="spellEnd"/>
      <w:proofErr w:type="gramEnd"/>
      <w:r w:rsidRPr="0083181A">
        <w:rPr>
          <w:b w:val="0"/>
          <w:sz w:val="24"/>
          <w:szCs w:val="24"/>
        </w:rPr>
        <w:t xml:space="preserve"> </w:t>
      </w:r>
      <w:proofErr w:type="spellStart"/>
      <w:r w:rsidRPr="0083181A">
        <w:rPr>
          <w:b w:val="0"/>
          <w:sz w:val="24"/>
          <w:szCs w:val="24"/>
        </w:rPr>
        <w:t>мощность</w:t>
      </w:r>
      <w:proofErr w:type="spellEnd"/>
      <w:r w:rsidRPr="0083181A">
        <w:rPr>
          <w:b w:val="0"/>
          <w:sz w:val="24"/>
          <w:szCs w:val="24"/>
        </w:rPr>
        <w:t xml:space="preserve"> – 50 </w:t>
      </w:r>
      <w:proofErr w:type="spellStart"/>
      <w:r w:rsidRPr="0083181A">
        <w:rPr>
          <w:b w:val="0"/>
          <w:sz w:val="24"/>
          <w:szCs w:val="24"/>
        </w:rPr>
        <w:t>МВт</w:t>
      </w:r>
      <w:proofErr w:type="spellEnd"/>
      <w:r w:rsidRPr="0083181A">
        <w:rPr>
          <w:b w:val="0"/>
          <w:sz w:val="24"/>
          <w:szCs w:val="24"/>
        </w:rPr>
        <w:t>;</w:t>
      </w:r>
    </w:p>
    <w:p w:rsidR="0083181A" w:rsidRPr="0083181A" w:rsidRDefault="0083181A" w:rsidP="0083181A">
      <w:pPr>
        <w:pStyle w:val="6"/>
        <w:keepNext w:val="0"/>
        <w:numPr>
          <w:ilvl w:val="0"/>
          <w:numId w:val="7"/>
        </w:numPr>
        <w:tabs>
          <w:tab w:val="clear" w:pos="284"/>
        </w:tabs>
        <w:spacing w:line="360" w:lineRule="auto"/>
        <w:ind w:left="1276" w:right="170" w:hanging="283"/>
        <w:rPr>
          <w:b w:val="0"/>
          <w:sz w:val="24"/>
          <w:szCs w:val="24"/>
        </w:rPr>
      </w:pPr>
      <w:proofErr w:type="spellStart"/>
      <w:proofErr w:type="gramStart"/>
      <w:r w:rsidRPr="0083181A">
        <w:rPr>
          <w:b w:val="0"/>
          <w:sz w:val="24"/>
          <w:szCs w:val="24"/>
        </w:rPr>
        <w:t>номинальное</w:t>
      </w:r>
      <w:proofErr w:type="spellEnd"/>
      <w:proofErr w:type="gramEnd"/>
      <w:r w:rsidRPr="0083181A">
        <w:rPr>
          <w:b w:val="0"/>
          <w:sz w:val="24"/>
          <w:szCs w:val="24"/>
        </w:rPr>
        <w:t xml:space="preserve"> </w:t>
      </w:r>
      <w:proofErr w:type="spellStart"/>
      <w:r w:rsidRPr="0083181A">
        <w:rPr>
          <w:b w:val="0"/>
          <w:sz w:val="24"/>
          <w:szCs w:val="24"/>
        </w:rPr>
        <w:t>напряжение</w:t>
      </w:r>
      <w:proofErr w:type="spellEnd"/>
      <w:r w:rsidRPr="0083181A">
        <w:rPr>
          <w:b w:val="0"/>
          <w:sz w:val="24"/>
          <w:szCs w:val="24"/>
        </w:rPr>
        <w:t xml:space="preserve"> – 10,5 </w:t>
      </w:r>
      <w:proofErr w:type="spellStart"/>
      <w:r w:rsidRPr="0083181A">
        <w:rPr>
          <w:b w:val="0"/>
          <w:sz w:val="24"/>
          <w:szCs w:val="24"/>
        </w:rPr>
        <w:t>кВ</w:t>
      </w:r>
      <w:proofErr w:type="spellEnd"/>
      <w:r w:rsidRPr="0083181A">
        <w:rPr>
          <w:b w:val="0"/>
          <w:sz w:val="24"/>
          <w:szCs w:val="24"/>
        </w:rPr>
        <w:t>;</w:t>
      </w:r>
    </w:p>
    <w:p w:rsidR="0083181A" w:rsidRPr="0083181A" w:rsidRDefault="0083181A" w:rsidP="0083181A">
      <w:pPr>
        <w:pStyle w:val="6"/>
        <w:keepNext w:val="0"/>
        <w:numPr>
          <w:ilvl w:val="0"/>
          <w:numId w:val="7"/>
        </w:numPr>
        <w:tabs>
          <w:tab w:val="clear" w:pos="284"/>
        </w:tabs>
        <w:spacing w:line="360" w:lineRule="auto"/>
        <w:ind w:left="1276" w:right="170" w:hanging="283"/>
        <w:rPr>
          <w:b w:val="0"/>
          <w:sz w:val="24"/>
          <w:szCs w:val="24"/>
        </w:rPr>
      </w:pPr>
      <w:proofErr w:type="spellStart"/>
      <w:proofErr w:type="gramStart"/>
      <w:r w:rsidRPr="0083181A">
        <w:rPr>
          <w:b w:val="0"/>
          <w:sz w:val="24"/>
          <w:szCs w:val="24"/>
        </w:rPr>
        <w:t>полная</w:t>
      </w:r>
      <w:proofErr w:type="spellEnd"/>
      <w:proofErr w:type="gramEnd"/>
      <w:r w:rsidRPr="0083181A">
        <w:rPr>
          <w:b w:val="0"/>
          <w:sz w:val="24"/>
          <w:szCs w:val="24"/>
        </w:rPr>
        <w:t xml:space="preserve"> </w:t>
      </w:r>
      <w:proofErr w:type="spellStart"/>
      <w:r w:rsidRPr="0083181A">
        <w:rPr>
          <w:b w:val="0"/>
          <w:sz w:val="24"/>
          <w:szCs w:val="24"/>
        </w:rPr>
        <w:t>мощность</w:t>
      </w:r>
      <w:proofErr w:type="spellEnd"/>
      <w:r w:rsidRPr="0083181A">
        <w:rPr>
          <w:b w:val="0"/>
          <w:sz w:val="24"/>
          <w:szCs w:val="24"/>
        </w:rPr>
        <w:t xml:space="preserve"> – 62500 </w:t>
      </w:r>
      <w:proofErr w:type="spellStart"/>
      <w:r w:rsidRPr="0083181A">
        <w:rPr>
          <w:b w:val="0"/>
          <w:sz w:val="24"/>
          <w:szCs w:val="24"/>
        </w:rPr>
        <w:t>кВА</w:t>
      </w:r>
      <w:proofErr w:type="spellEnd"/>
      <w:r w:rsidRPr="0083181A">
        <w:rPr>
          <w:b w:val="0"/>
          <w:sz w:val="24"/>
          <w:szCs w:val="24"/>
        </w:rPr>
        <w:t>;</w:t>
      </w:r>
    </w:p>
    <w:p w:rsidR="0083181A" w:rsidRPr="0083181A" w:rsidRDefault="0083181A" w:rsidP="0083181A">
      <w:pPr>
        <w:pStyle w:val="6"/>
        <w:keepNext w:val="0"/>
        <w:numPr>
          <w:ilvl w:val="0"/>
          <w:numId w:val="7"/>
        </w:numPr>
        <w:tabs>
          <w:tab w:val="clear" w:pos="284"/>
        </w:tabs>
        <w:spacing w:line="360" w:lineRule="auto"/>
        <w:ind w:left="1276" w:right="170" w:hanging="283"/>
        <w:rPr>
          <w:b w:val="0"/>
          <w:sz w:val="24"/>
          <w:szCs w:val="24"/>
        </w:rPr>
      </w:pPr>
      <w:proofErr w:type="spellStart"/>
      <w:proofErr w:type="gramStart"/>
      <w:r w:rsidRPr="0083181A">
        <w:rPr>
          <w:b w:val="0"/>
          <w:sz w:val="24"/>
          <w:szCs w:val="24"/>
        </w:rPr>
        <w:t>коэффициент</w:t>
      </w:r>
      <w:proofErr w:type="spellEnd"/>
      <w:proofErr w:type="gramEnd"/>
      <w:r w:rsidRPr="0083181A">
        <w:rPr>
          <w:b w:val="0"/>
          <w:sz w:val="24"/>
          <w:szCs w:val="24"/>
        </w:rPr>
        <w:t xml:space="preserve"> </w:t>
      </w:r>
      <w:proofErr w:type="spellStart"/>
      <w:r w:rsidRPr="0083181A">
        <w:rPr>
          <w:b w:val="0"/>
          <w:sz w:val="24"/>
          <w:szCs w:val="24"/>
        </w:rPr>
        <w:t>мощности</w:t>
      </w:r>
      <w:proofErr w:type="spellEnd"/>
      <w:r w:rsidRPr="0083181A">
        <w:rPr>
          <w:b w:val="0"/>
          <w:sz w:val="24"/>
          <w:szCs w:val="24"/>
        </w:rPr>
        <w:t xml:space="preserve"> – 0,8;</w:t>
      </w:r>
    </w:p>
    <w:p w:rsidR="0083181A" w:rsidRPr="0083181A" w:rsidRDefault="002323BC" w:rsidP="0083181A">
      <w:pPr>
        <w:pStyle w:val="6"/>
        <w:keepNext w:val="0"/>
        <w:numPr>
          <w:ilvl w:val="0"/>
          <w:numId w:val="7"/>
        </w:numPr>
        <w:tabs>
          <w:tab w:val="clear" w:pos="284"/>
        </w:tabs>
        <w:spacing w:line="360" w:lineRule="auto"/>
        <w:ind w:left="1276" w:right="170" w:hanging="283"/>
        <w:rPr>
          <w:b w:val="0"/>
          <w:sz w:val="24"/>
          <w:szCs w:val="24"/>
          <w:lang w:val="ru-RU"/>
        </w:rPr>
      </w:pPr>
      <w:r w:rsidRPr="002323BC">
        <w:rPr>
          <w:b w:val="0"/>
          <w:sz w:val="24"/>
          <w:szCs w:val="24"/>
          <w:lang w:val="ru-RU"/>
        </w:rPr>
        <w:t xml:space="preserve">требуемая температура охлаждающей воды на входе </w:t>
      </w:r>
      <w:r w:rsidR="0083181A" w:rsidRPr="0083181A">
        <w:rPr>
          <w:b w:val="0"/>
          <w:sz w:val="24"/>
          <w:szCs w:val="24"/>
          <w:lang w:val="ru-RU"/>
        </w:rPr>
        <w:t>в воздухоохладители – не менее 12</w:t>
      </w:r>
      <w:r w:rsidR="0083181A" w:rsidRPr="0083181A">
        <w:rPr>
          <w:b w:val="0"/>
          <w:sz w:val="24"/>
          <w:szCs w:val="24"/>
          <w:vertAlign w:val="superscript"/>
          <w:lang w:val="ru-RU"/>
        </w:rPr>
        <w:t>0</w:t>
      </w:r>
      <w:r w:rsidR="0083181A" w:rsidRPr="0083181A">
        <w:rPr>
          <w:b w:val="0"/>
          <w:sz w:val="24"/>
          <w:szCs w:val="24"/>
          <w:lang w:val="ru-RU"/>
        </w:rPr>
        <w:t>С и не более 33</w:t>
      </w:r>
      <w:r w:rsidR="0083181A" w:rsidRPr="0083181A">
        <w:rPr>
          <w:b w:val="0"/>
          <w:sz w:val="24"/>
          <w:szCs w:val="24"/>
          <w:vertAlign w:val="superscript"/>
          <w:lang w:val="ru-RU"/>
        </w:rPr>
        <w:t>0</w:t>
      </w:r>
      <w:r w:rsidR="0083181A" w:rsidRPr="0083181A">
        <w:rPr>
          <w:b w:val="0"/>
          <w:sz w:val="24"/>
          <w:szCs w:val="24"/>
          <w:lang w:val="ru-RU"/>
        </w:rPr>
        <w:t>С;</w:t>
      </w:r>
    </w:p>
    <w:p w:rsidR="0083181A" w:rsidRPr="0083181A" w:rsidRDefault="0083181A" w:rsidP="0083181A">
      <w:pPr>
        <w:pStyle w:val="6"/>
        <w:keepNext w:val="0"/>
        <w:numPr>
          <w:ilvl w:val="0"/>
          <w:numId w:val="7"/>
        </w:numPr>
        <w:tabs>
          <w:tab w:val="clear" w:pos="284"/>
        </w:tabs>
        <w:spacing w:line="360" w:lineRule="auto"/>
        <w:ind w:left="1276" w:right="170" w:hanging="283"/>
        <w:rPr>
          <w:b w:val="0"/>
          <w:sz w:val="24"/>
          <w:szCs w:val="24"/>
        </w:rPr>
      </w:pPr>
      <w:proofErr w:type="spellStart"/>
      <w:proofErr w:type="gramStart"/>
      <w:r w:rsidRPr="0083181A">
        <w:rPr>
          <w:b w:val="0"/>
          <w:sz w:val="24"/>
          <w:szCs w:val="24"/>
        </w:rPr>
        <w:t>коэффициент</w:t>
      </w:r>
      <w:proofErr w:type="spellEnd"/>
      <w:proofErr w:type="gramEnd"/>
      <w:r w:rsidRPr="0083181A">
        <w:rPr>
          <w:b w:val="0"/>
          <w:sz w:val="24"/>
          <w:szCs w:val="24"/>
        </w:rPr>
        <w:t xml:space="preserve"> </w:t>
      </w:r>
      <w:proofErr w:type="spellStart"/>
      <w:r w:rsidRPr="0083181A">
        <w:rPr>
          <w:b w:val="0"/>
          <w:sz w:val="24"/>
          <w:szCs w:val="24"/>
        </w:rPr>
        <w:t>полезного</w:t>
      </w:r>
      <w:proofErr w:type="spellEnd"/>
      <w:r w:rsidRPr="0083181A">
        <w:rPr>
          <w:b w:val="0"/>
          <w:sz w:val="24"/>
          <w:szCs w:val="24"/>
        </w:rPr>
        <w:t xml:space="preserve"> </w:t>
      </w:r>
      <w:proofErr w:type="spellStart"/>
      <w:r w:rsidRPr="0083181A">
        <w:rPr>
          <w:b w:val="0"/>
          <w:sz w:val="24"/>
          <w:szCs w:val="24"/>
        </w:rPr>
        <w:t>действия</w:t>
      </w:r>
      <w:proofErr w:type="spellEnd"/>
      <w:r w:rsidRPr="0083181A">
        <w:rPr>
          <w:b w:val="0"/>
          <w:sz w:val="24"/>
          <w:szCs w:val="24"/>
        </w:rPr>
        <w:t xml:space="preserve"> – 98,3%.</w:t>
      </w:r>
    </w:p>
    <w:p w:rsidR="00447CC4" w:rsidRPr="00D762E7" w:rsidRDefault="00447CC4" w:rsidP="00575051">
      <w:pPr>
        <w:spacing w:line="360" w:lineRule="auto"/>
        <w:ind w:firstLine="709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Паровой котел с естественной циркуляцией и уравновешенной тягой типа Е-220-9,8-540 ГД производства </w:t>
      </w:r>
      <w:proofErr w:type="spellStart"/>
      <w:r w:rsidRPr="00D762E7">
        <w:rPr>
          <w:sz w:val="24"/>
          <w:szCs w:val="24"/>
          <w:lang w:val="ru-RU"/>
        </w:rPr>
        <w:t>Барнаульского</w:t>
      </w:r>
      <w:proofErr w:type="spellEnd"/>
      <w:r w:rsidRPr="00D762E7">
        <w:rPr>
          <w:sz w:val="24"/>
          <w:szCs w:val="24"/>
          <w:lang w:val="ru-RU"/>
        </w:rPr>
        <w:t xml:space="preserve"> котельного завода ПК «</w:t>
      </w:r>
      <w:proofErr w:type="spellStart"/>
      <w:r w:rsidRPr="00D762E7">
        <w:rPr>
          <w:sz w:val="24"/>
          <w:szCs w:val="24"/>
          <w:lang w:val="ru-RU"/>
        </w:rPr>
        <w:t>Сибэнергомаш</w:t>
      </w:r>
      <w:proofErr w:type="spellEnd"/>
      <w:r w:rsidRPr="00D762E7">
        <w:rPr>
          <w:sz w:val="24"/>
          <w:szCs w:val="24"/>
          <w:lang w:val="ru-RU"/>
        </w:rPr>
        <w:t xml:space="preserve">», предназначенный для совместного сжигания доменного газа (побочного продукта металлургического производства) и природного газа. При этом доля сжигаемого природного газа по теплу – не менее 40%. Работа котла при доле сжигаемого природного газа по теплу менее 40% не предусмотрена Общими техническими условиями на поставку </w:t>
      </w:r>
      <w:proofErr w:type="spellStart"/>
      <w:r w:rsidRPr="00D762E7">
        <w:rPr>
          <w:sz w:val="24"/>
          <w:szCs w:val="24"/>
          <w:lang w:val="ru-RU"/>
        </w:rPr>
        <w:t>котлоагрегата</w:t>
      </w:r>
      <w:proofErr w:type="spellEnd"/>
      <w:r w:rsidRPr="00D762E7">
        <w:rPr>
          <w:sz w:val="24"/>
          <w:szCs w:val="24"/>
          <w:lang w:val="ru-RU"/>
        </w:rPr>
        <w:t xml:space="preserve">. При необходимости, паровой котел может работать полностью на природном газе. </w:t>
      </w:r>
    </w:p>
    <w:p w:rsidR="00447CC4" w:rsidRPr="00D762E7" w:rsidRDefault="00447CC4" w:rsidP="00575051">
      <w:pPr>
        <w:spacing w:line="360" w:lineRule="auto"/>
        <w:ind w:firstLine="709"/>
        <w:jc w:val="both"/>
        <w:rPr>
          <w:bCs/>
          <w:kern w:val="32"/>
          <w:sz w:val="24"/>
          <w:szCs w:val="24"/>
          <w:lang w:val="ru-RU" w:eastAsia="en-US" w:bidi="en-US"/>
        </w:rPr>
      </w:pPr>
      <w:r w:rsidRPr="00D762E7">
        <w:rPr>
          <w:bCs/>
          <w:kern w:val="32"/>
          <w:sz w:val="24"/>
          <w:szCs w:val="24"/>
          <w:lang w:val="ru-RU" w:eastAsia="en-US" w:bidi="en-US"/>
        </w:rPr>
        <w:t>Основные характеристики парового котла:</w:t>
      </w:r>
    </w:p>
    <w:p w:rsidR="00447CC4" w:rsidRPr="00D762E7" w:rsidRDefault="00447CC4" w:rsidP="00447CC4">
      <w:pPr>
        <w:pStyle w:val="a5"/>
        <w:numPr>
          <w:ilvl w:val="0"/>
          <w:numId w:val="7"/>
        </w:numPr>
        <w:spacing w:line="360" w:lineRule="auto"/>
        <w:jc w:val="both"/>
        <w:rPr>
          <w:bCs/>
          <w:kern w:val="32"/>
          <w:sz w:val="24"/>
          <w:szCs w:val="24"/>
          <w:lang w:val="ru-RU" w:eastAsia="en-US" w:bidi="en-US"/>
        </w:rPr>
      </w:pPr>
      <w:r w:rsidRPr="00D762E7">
        <w:rPr>
          <w:bCs/>
          <w:kern w:val="32"/>
          <w:sz w:val="24"/>
          <w:szCs w:val="24"/>
          <w:lang w:val="ru-RU" w:eastAsia="en-US" w:bidi="en-US"/>
        </w:rPr>
        <w:t xml:space="preserve"> номинальная производительность – 220 т/час;</w:t>
      </w:r>
    </w:p>
    <w:p w:rsidR="00447CC4" w:rsidRPr="00D762E7" w:rsidRDefault="00447CC4" w:rsidP="00447CC4">
      <w:pPr>
        <w:numPr>
          <w:ilvl w:val="0"/>
          <w:numId w:val="8"/>
        </w:numPr>
        <w:tabs>
          <w:tab w:val="left" w:pos="1418"/>
          <w:tab w:val="left" w:pos="6521"/>
        </w:tabs>
        <w:spacing w:line="360" w:lineRule="auto"/>
        <w:ind w:left="284" w:firstLine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температура свежего пара – 540 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С;</w:t>
      </w:r>
    </w:p>
    <w:p w:rsidR="00447CC4" w:rsidRPr="00D762E7" w:rsidRDefault="00447CC4" w:rsidP="00447CC4">
      <w:pPr>
        <w:numPr>
          <w:ilvl w:val="0"/>
          <w:numId w:val="8"/>
        </w:numPr>
        <w:tabs>
          <w:tab w:val="left" w:pos="1418"/>
          <w:tab w:val="left" w:pos="6521"/>
        </w:tabs>
        <w:spacing w:line="360" w:lineRule="auto"/>
        <w:ind w:left="284" w:firstLine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lastRenderedPageBreak/>
        <w:t>давление свежего пара – 9,8 МПа;</w:t>
      </w:r>
    </w:p>
    <w:p w:rsidR="00447CC4" w:rsidRPr="00D762E7" w:rsidRDefault="00447CC4" w:rsidP="00447CC4">
      <w:pPr>
        <w:numPr>
          <w:ilvl w:val="0"/>
          <w:numId w:val="8"/>
        </w:numPr>
        <w:tabs>
          <w:tab w:val="left" w:pos="1418"/>
          <w:tab w:val="left" w:pos="6521"/>
        </w:tabs>
        <w:spacing w:line="360" w:lineRule="auto"/>
        <w:ind w:left="284" w:firstLine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номинальная температура питательной воды – 215 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С;</w:t>
      </w:r>
    </w:p>
    <w:p w:rsidR="00447CC4" w:rsidRPr="00D762E7" w:rsidRDefault="00447CC4" w:rsidP="00447CC4">
      <w:pPr>
        <w:numPr>
          <w:ilvl w:val="0"/>
          <w:numId w:val="8"/>
        </w:numPr>
        <w:tabs>
          <w:tab w:val="left" w:pos="1418"/>
          <w:tab w:val="left" w:pos="6521"/>
        </w:tabs>
        <w:spacing w:line="360" w:lineRule="auto"/>
        <w:ind w:left="1418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КПД брутто гарантийный согласно Договору, п. 2.10.1 Приложения 1 Технической части Договора </w:t>
      </w:r>
      <w:proofErr w:type="gramStart"/>
      <w:r w:rsidRPr="00D762E7">
        <w:rPr>
          <w:sz w:val="24"/>
          <w:szCs w:val="24"/>
          <w:lang w:val="ru-RU"/>
        </w:rPr>
        <w:t xml:space="preserve">( </w:t>
      </w:r>
      <w:proofErr w:type="gramEnd"/>
      <w:r w:rsidRPr="00D762E7">
        <w:rPr>
          <w:sz w:val="24"/>
          <w:szCs w:val="24"/>
          <w:lang w:val="ru-RU"/>
        </w:rPr>
        <w:t>Приложение А) – 89,6 %;</w:t>
      </w:r>
    </w:p>
    <w:p w:rsidR="00447CC4" w:rsidRPr="00D762E7" w:rsidRDefault="00447CC4" w:rsidP="00447CC4">
      <w:pPr>
        <w:numPr>
          <w:ilvl w:val="0"/>
          <w:numId w:val="8"/>
        </w:numPr>
        <w:tabs>
          <w:tab w:val="left" w:pos="1418"/>
          <w:tab w:val="left" w:pos="6521"/>
        </w:tabs>
        <w:spacing w:line="360" w:lineRule="auto"/>
        <w:ind w:left="1418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удельные выбросы вредных веществ за котлом – оксид азота (</w:t>
      </w:r>
      <w:r w:rsidRPr="00D762E7">
        <w:rPr>
          <w:sz w:val="24"/>
          <w:szCs w:val="24"/>
        </w:rPr>
        <w:t>NO</w:t>
      </w:r>
      <w:proofErr w:type="spellStart"/>
      <w:proofErr w:type="gramStart"/>
      <w:r w:rsidRPr="00D762E7">
        <w:rPr>
          <w:sz w:val="24"/>
          <w:szCs w:val="24"/>
          <w:vertAlign w:val="subscript"/>
          <w:lang w:val="ru-RU"/>
        </w:rPr>
        <w:t>х</w:t>
      </w:r>
      <w:proofErr w:type="spellEnd"/>
      <w:proofErr w:type="gramEnd"/>
      <w:r w:rsidRPr="00D762E7">
        <w:rPr>
          <w:sz w:val="24"/>
          <w:szCs w:val="24"/>
          <w:lang w:val="ru-RU"/>
        </w:rPr>
        <w:t>) с концентрацией (при избытке воздуха α=1,05-1,4) – до 125 мг/нм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>;</w:t>
      </w:r>
    </w:p>
    <w:p w:rsidR="00447CC4" w:rsidRPr="00D762E7" w:rsidRDefault="00447CC4" w:rsidP="00447CC4">
      <w:pPr>
        <w:numPr>
          <w:ilvl w:val="0"/>
          <w:numId w:val="8"/>
        </w:numPr>
        <w:tabs>
          <w:tab w:val="left" w:pos="1418"/>
          <w:tab w:val="left" w:pos="6521"/>
        </w:tabs>
        <w:spacing w:line="360" w:lineRule="auto"/>
        <w:ind w:left="1418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максимальный расчетный расход потребления доменного газа (соответствует нижнему значению низшей теплотворной способности 765 ккал/нм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 xml:space="preserve"> при температуре +20 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 и абсолютном давлении 101, 325 кПа) – 120000 нм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>/час; при большем значении низшей теплотворной способности расход доменного газа на котёл будет меньше, чем 120000 нм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 xml:space="preserve">/час, так как согласно Общим техническим условиям на поставку котла не предусмотрена работа при доле сжигания доменного газа более 60% по теплу; </w:t>
      </w:r>
    </w:p>
    <w:p w:rsidR="00447CC4" w:rsidRPr="00D762E7" w:rsidRDefault="00447CC4" w:rsidP="00447CC4">
      <w:pPr>
        <w:numPr>
          <w:ilvl w:val="0"/>
          <w:numId w:val="8"/>
        </w:numPr>
        <w:tabs>
          <w:tab w:val="left" w:pos="1418"/>
        </w:tabs>
        <w:spacing w:line="360" w:lineRule="auto"/>
        <w:ind w:left="1418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номинальный расход потребления природного газа (низшая теплотворная способность 8000 ккал/нм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 xml:space="preserve"> при температуре +20 </w:t>
      </w:r>
      <w:r w:rsidRPr="00D762E7">
        <w:rPr>
          <w:sz w:val="24"/>
          <w:szCs w:val="24"/>
          <w:vertAlign w:val="superscript"/>
          <w:lang w:val="ru-RU"/>
        </w:rPr>
        <w:t>0</w:t>
      </w:r>
      <w:r w:rsidRPr="00D762E7">
        <w:rPr>
          <w:sz w:val="24"/>
          <w:szCs w:val="24"/>
          <w:lang w:val="ru-RU"/>
        </w:rPr>
        <w:t>С и абсолютном давлении 101, 325 кПа) по Общим техническим условиям на котёл:</w:t>
      </w:r>
    </w:p>
    <w:p w:rsidR="00447CC4" w:rsidRPr="00D762E7" w:rsidRDefault="00447CC4" w:rsidP="00447CC4">
      <w:pPr>
        <w:tabs>
          <w:tab w:val="left" w:pos="1985"/>
        </w:tabs>
        <w:spacing w:line="360" w:lineRule="auto"/>
        <w:ind w:left="1985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а) </w:t>
      </w:r>
      <w:r w:rsidRPr="00D762E7">
        <w:rPr>
          <w:sz w:val="24"/>
          <w:szCs w:val="24"/>
          <w:lang w:val="ru-RU"/>
        </w:rPr>
        <w:tab/>
        <w:t>при максимальном расходе потребления доменного газа –7000 нм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>/час;</w:t>
      </w:r>
    </w:p>
    <w:p w:rsidR="00447CC4" w:rsidRPr="00D762E7" w:rsidRDefault="00447CC4" w:rsidP="00447CC4">
      <w:pPr>
        <w:tabs>
          <w:tab w:val="left" w:pos="1985"/>
        </w:tabs>
        <w:spacing w:line="360" w:lineRule="auto"/>
        <w:ind w:left="1985" w:hanging="567"/>
        <w:jc w:val="both"/>
        <w:outlineLvl w:val="5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б) </w:t>
      </w:r>
      <w:r w:rsidRPr="00D762E7">
        <w:rPr>
          <w:sz w:val="24"/>
          <w:szCs w:val="24"/>
          <w:lang w:val="ru-RU"/>
        </w:rPr>
        <w:tab/>
        <w:t>при работе котла только на природном газе – 18000 нм</w:t>
      </w:r>
      <w:r w:rsidRPr="00D762E7">
        <w:rPr>
          <w:sz w:val="24"/>
          <w:szCs w:val="24"/>
          <w:vertAlign w:val="superscript"/>
          <w:lang w:val="ru-RU"/>
        </w:rPr>
        <w:t>3</w:t>
      </w:r>
      <w:r w:rsidRPr="00D762E7">
        <w:rPr>
          <w:sz w:val="24"/>
          <w:szCs w:val="24"/>
          <w:lang w:val="ru-RU"/>
        </w:rPr>
        <w:t>/час.</w:t>
      </w:r>
    </w:p>
    <w:p w:rsidR="0083181A" w:rsidRDefault="00447CC4" w:rsidP="0083181A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Режим работы УТЭЦ – базовый. Установленная электрическая мощность – 150 МВт в конденсационном режиме.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Число часов работы в год – 8000.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Годовая выработка тепла – 1098,3 тыс</w:t>
      </w:r>
      <w:proofErr w:type="gramStart"/>
      <w:r w:rsidRPr="00D762E7">
        <w:rPr>
          <w:bCs/>
          <w:sz w:val="24"/>
          <w:szCs w:val="24"/>
          <w:lang w:val="ru-RU"/>
        </w:rPr>
        <w:t>.Г</w:t>
      </w:r>
      <w:proofErr w:type="gramEnd"/>
      <w:r w:rsidRPr="00D762E7">
        <w:rPr>
          <w:bCs/>
          <w:sz w:val="24"/>
          <w:szCs w:val="24"/>
          <w:lang w:val="ru-RU"/>
        </w:rPr>
        <w:t>кал.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Годовая выработка электроэнергии – 1099,9 млн. кВтч.</w:t>
      </w:r>
    </w:p>
    <w:p w:rsidR="00447CC4" w:rsidRPr="00D762E7" w:rsidRDefault="00447CC4" w:rsidP="00575051">
      <w:pPr>
        <w:pStyle w:val="aa"/>
        <w:suppressAutoHyphens/>
        <w:spacing w:after="0" w:line="360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D762E7">
        <w:rPr>
          <w:bCs/>
          <w:sz w:val="24"/>
          <w:szCs w:val="24"/>
        </w:rPr>
        <w:t>Тепловая</w:t>
      </w:r>
      <w:proofErr w:type="spellEnd"/>
      <w:r w:rsidRPr="00D762E7">
        <w:rPr>
          <w:bCs/>
          <w:sz w:val="24"/>
          <w:szCs w:val="24"/>
        </w:rPr>
        <w:t xml:space="preserve"> </w:t>
      </w:r>
      <w:proofErr w:type="spellStart"/>
      <w:r w:rsidRPr="00D762E7">
        <w:rPr>
          <w:bCs/>
          <w:sz w:val="24"/>
          <w:szCs w:val="24"/>
        </w:rPr>
        <w:t>мощность</w:t>
      </w:r>
      <w:proofErr w:type="spellEnd"/>
      <w:r w:rsidRPr="00D762E7">
        <w:rPr>
          <w:bCs/>
          <w:sz w:val="24"/>
          <w:szCs w:val="24"/>
        </w:rPr>
        <w:t xml:space="preserve"> УТЭЦ: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1134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на отопление и вентиляцию - 115 Гкал/</w:t>
      </w:r>
      <w:proofErr w:type="gramStart"/>
      <w:r w:rsidRPr="00D762E7">
        <w:rPr>
          <w:bCs/>
          <w:sz w:val="24"/>
          <w:szCs w:val="24"/>
          <w:lang w:val="ru-RU"/>
        </w:rPr>
        <w:t>ч</w:t>
      </w:r>
      <w:proofErr w:type="gramEnd"/>
      <w:r w:rsidRPr="00D762E7">
        <w:rPr>
          <w:bCs/>
          <w:sz w:val="24"/>
          <w:szCs w:val="24"/>
          <w:lang w:val="ru-RU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1134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на горячее водоснабжение – 9 Гкал/</w:t>
      </w:r>
      <w:proofErr w:type="gramStart"/>
      <w:r w:rsidRPr="00D762E7">
        <w:rPr>
          <w:bCs/>
          <w:sz w:val="24"/>
          <w:szCs w:val="24"/>
          <w:lang w:val="ru-RU"/>
        </w:rPr>
        <w:t>ч</w:t>
      </w:r>
      <w:proofErr w:type="gramEnd"/>
      <w:r w:rsidRPr="00D762E7">
        <w:rPr>
          <w:bCs/>
          <w:sz w:val="24"/>
          <w:szCs w:val="24"/>
          <w:lang w:val="ru-RU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1134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на собственные нужды – 8,625 Гкал/</w:t>
      </w:r>
      <w:proofErr w:type="gramStart"/>
      <w:r w:rsidRPr="00D762E7">
        <w:rPr>
          <w:bCs/>
          <w:sz w:val="24"/>
          <w:szCs w:val="24"/>
          <w:lang w:val="ru-RU"/>
        </w:rPr>
        <w:t>ч</w:t>
      </w:r>
      <w:proofErr w:type="gramEnd"/>
      <w:r w:rsidRPr="00D762E7">
        <w:rPr>
          <w:bCs/>
          <w:sz w:val="24"/>
          <w:szCs w:val="24"/>
          <w:lang w:val="ru-RU"/>
        </w:rPr>
        <w:t>;</w:t>
      </w:r>
    </w:p>
    <w:p w:rsidR="00447CC4" w:rsidRPr="00D762E7" w:rsidRDefault="00447CC4" w:rsidP="00447CC4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after="0" w:line="360" w:lineRule="auto"/>
        <w:ind w:left="0" w:firstLine="1134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на производство – 120 т/ч пара давлением 1,2 МПа.</w:t>
      </w:r>
    </w:p>
    <w:p w:rsidR="00F75510" w:rsidRPr="00BE7D9A" w:rsidRDefault="0083181A" w:rsidP="00F75510">
      <w:pPr>
        <w:pageBreakBefore/>
        <w:suppressAutoHyphens/>
        <w:spacing w:line="360" w:lineRule="auto"/>
        <w:ind w:right="425" w:firstLine="567"/>
        <w:jc w:val="both"/>
        <w:rPr>
          <w:b/>
          <w:sz w:val="28"/>
          <w:szCs w:val="28"/>
          <w:lang w:val="ru-RU"/>
        </w:rPr>
      </w:pPr>
      <w:r w:rsidRPr="00BE7D9A">
        <w:rPr>
          <w:b/>
          <w:sz w:val="28"/>
          <w:szCs w:val="28"/>
          <w:lang w:val="ru-RU"/>
        </w:rPr>
        <w:lastRenderedPageBreak/>
        <w:t>Глава 3. Теоретические и методические основы анализа эффективности инвестиций</w:t>
      </w:r>
    </w:p>
    <w:p w:rsidR="00575051" w:rsidRPr="00A73620" w:rsidRDefault="00575051" w:rsidP="00F75510">
      <w:pPr>
        <w:suppressAutoHyphens/>
        <w:spacing w:line="360" w:lineRule="auto"/>
        <w:ind w:right="423"/>
        <w:jc w:val="both"/>
        <w:rPr>
          <w:b/>
          <w:sz w:val="24"/>
          <w:szCs w:val="24"/>
          <w:lang w:val="ru-RU"/>
        </w:rPr>
      </w:pPr>
    </w:p>
    <w:p w:rsidR="0083181A" w:rsidRDefault="0083181A" w:rsidP="004A2A77">
      <w:p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83181A">
        <w:rPr>
          <w:b/>
          <w:sz w:val="24"/>
          <w:szCs w:val="24"/>
          <w:lang w:val="ru-RU"/>
        </w:rPr>
        <w:t>3.</w:t>
      </w:r>
      <w:r w:rsidR="009C01A5">
        <w:rPr>
          <w:b/>
          <w:sz w:val="24"/>
          <w:szCs w:val="24"/>
          <w:lang w:val="ru-RU"/>
        </w:rPr>
        <w:t>1</w:t>
      </w:r>
      <w:r w:rsidRPr="0083181A">
        <w:rPr>
          <w:b/>
          <w:sz w:val="24"/>
          <w:szCs w:val="24"/>
          <w:lang w:val="ru-RU"/>
        </w:rPr>
        <w:t xml:space="preserve"> </w:t>
      </w:r>
      <w:r w:rsidR="004A2A77" w:rsidRPr="004A2A77">
        <w:rPr>
          <w:b/>
          <w:sz w:val="28"/>
          <w:szCs w:val="28"/>
          <w:lang w:val="ru-RU"/>
        </w:rPr>
        <w:t>Анализ эффективности инвестиций в строительство</w:t>
      </w:r>
      <w:r w:rsidR="009C01A5">
        <w:rPr>
          <w:b/>
          <w:sz w:val="28"/>
          <w:szCs w:val="28"/>
          <w:lang w:val="ru-RU"/>
        </w:rPr>
        <w:t>.</w:t>
      </w:r>
    </w:p>
    <w:p w:rsidR="0083181A" w:rsidRDefault="0083181A" w:rsidP="0083181A">
      <w:pPr>
        <w:spacing w:line="360" w:lineRule="auto"/>
        <w:rPr>
          <w:sz w:val="24"/>
          <w:szCs w:val="24"/>
          <w:lang w:val="ru-RU"/>
        </w:rPr>
      </w:pPr>
    </w:p>
    <w:p w:rsidR="0083181A" w:rsidRDefault="00447CC4" w:rsidP="0083181A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Высокая капиталоемкость электроэнергетики требует детального обоснования решений по инвестированию проектов нового энергетического строительства и технического перевооружения основных средств. Принятие решения по инвестированию принимается на базе результатов расчета эффективности инвестиций, проводимого в рамках проектного анализа.</w:t>
      </w:r>
      <w:r w:rsidRPr="00D762E7">
        <w:rPr>
          <w:rStyle w:val="a8"/>
          <w:sz w:val="24"/>
          <w:szCs w:val="24"/>
          <w:lang w:val="ru-RU"/>
        </w:rPr>
        <w:footnoteReference w:id="2"/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Проектный анализ представляет совокупность действий по анализу технической, экологической, социальной целесообразности осуществления проектов и анализу их финансовой эффективности.</w:t>
      </w:r>
      <w:r w:rsidRPr="00D762E7">
        <w:rPr>
          <w:rStyle w:val="a8"/>
          <w:sz w:val="24"/>
          <w:szCs w:val="24"/>
          <w:lang w:val="ru-RU"/>
        </w:rPr>
        <w:footnoteReference w:id="3"/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Электрические станции и линии электропередач являются одновременно элементами электроэнергетических (технических) систем и субъектами энергетических рынков (коммерческих систем), поэтому важнейшей особенностью проектного анализа </w:t>
      </w:r>
      <w:proofErr w:type="spellStart"/>
      <w:r w:rsidRPr="00D762E7">
        <w:rPr>
          <w:sz w:val="24"/>
          <w:szCs w:val="24"/>
          <w:lang w:val="ru-RU"/>
        </w:rPr>
        <w:t>энергообъектов</w:t>
      </w:r>
      <w:proofErr w:type="spellEnd"/>
      <w:r w:rsidRPr="00D762E7">
        <w:rPr>
          <w:sz w:val="24"/>
          <w:szCs w:val="24"/>
          <w:lang w:val="ru-RU"/>
        </w:rPr>
        <w:t xml:space="preserve"> является их рассмотрение одновременно с двух позиций:</w:t>
      </w:r>
    </w:p>
    <w:p w:rsidR="00447CC4" w:rsidRPr="00D762E7" w:rsidRDefault="00447CC4" w:rsidP="00447CC4">
      <w:pPr>
        <w:pStyle w:val="a5"/>
        <w:numPr>
          <w:ilvl w:val="0"/>
          <w:numId w:val="10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общесистемной,</w:t>
      </w:r>
    </w:p>
    <w:p w:rsidR="00447CC4" w:rsidRPr="00D762E7" w:rsidRDefault="00447CC4" w:rsidP="00447CC4">
      <w:pPr>
        <w:pStyle w:val="a5"/>
        <w:numPr>
          <w:ilvl w:val="0"/>
          <w:numId w:val="10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индивидуальной.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Анализ проекта с общесистемной позиции предполагает оценку технологической целесообразности его реализации и соответствия требованиям обеспечения надежной параллельной работы всех элементов энергосистемы. В то же время, как будущий субъект рынка, данный объект рассматривается с позиции его влияния на снижение тарифа на рынке.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При анализе проекта с индивидуальной позиции он рассматривается как самостоятельный инвестиционный проект, работающий на замкнутый (в энергетическом смысле), рынок мощности и энергии.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Инвестиции – это вложения капитала в развитие предприятия, мероприятия по повышению эффективности производственно-хозяйственной деятельности или ценные бумаги с целью получения экономического результата.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Инвестиционная деятельность имеет ряд специфических особенностей:</w:t>
      </w:r>
    </w:p>
    <w:p w:rsidR="00447CC4" w:rsidRPr="00D762E7" w:rsidRDefault="00447CC4" w:rsidP="00447CC4">
      <w:pPr>
        <w:pStyle w:val="a5"/>
        <w:numPr>
          <w:ilvl w:val="1"/>
          <w:numId w:val="14"/>
        </w:numPr>
        <w:suppressAutoHyphens/>
        <w:spacing w:line="360" w:lineRule="auto"/>
        <w:ind w:left="1418" w:right="423" w:hanging="425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lastRenderedPageBreak/>
        <w:t xml:space="preserve">Вложение капитала и получение результата </w:t>
      </w:r>
      <w:proofErr w:type="gramStart"/>
      <w:r w:rsidRPr="00D762E7">
        <w:rPr>
          <w:sz w:val="24"/>
          <w:szCs w:val="24"/>
          <w:lang w:val="ru-RU"/>
        </w:rPr>
        <w:t>разделены</w:t>
      </w:r>
      <w:proofErr w:type="gramEnd"/>
      <w:r w:rsidRPr="00D762E7">
        <w:rPr>
          <w:sz w:val="24"/>
          <w:szCs w:val="24"/>
          <w:lang w:val="ru-RU"/>
        </w:rPr>
        <w:t xml:space="preserve"> во времени. </w:t>
      </w:r>
    </w:p>
    <w:p w:rsidR="00447CC4" w:rsidRPr="00D762E7" w:rsidRDefault="00447CC4" w:rsidP="00447CC4">
      <w:pPr>
        <w:pStyle w:val="a5"/>
        <w:numPr>
          <w:ilvl w:val="1"/>
          <w:numId w:val="14"/>
        </w:numPr>
        <w:suppressAutoHyphens/>
        <w:spacing w:line="360" w:lineRule="auto"/>
        <w:ind w:left="1418" w:right="423" w:hanging="425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Наличие альтернативных вариантов вложения капитала.</w:t>
      </w:r>
    </w:p>
    <w:p w:rsidR="00447CC4" w:rsidRPr="00D762E7" w:rsidRDefault="00447CC4" w:rsidP="00447CC4">
      <w:pPr>
        <w:pStyle w:val="a5"/>
        <w:numPr>
          <w:ilvl w:val="1"/>
          <w:numId w:val="14"/>
        </w:numPr>
        <w:suppressAutoHyphens/>
        <w:spacing w:line="360" w:lineRule="auto"/>
        <w:ind w:left="1418" w:right="423" w:hanging="425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Дефицит необходимых ресурсов, в первую очередь, финансовых. </w:t>
      </w:r>
    </w:p>
    <w:p w:rsidR="00447CC4" w:rsidRPr="00D762E7" w:rsidRDefault="00447CC4" w:rsidP="00447CC4">
      <w:pPr>
        <w:pStyle w:val="a5"/>
        <w:numPr>
          <w:ilvl w:val="1"/>
          <w:numId w:val="14"/>
        </w:numPr>
        <w:suppressAutoHyphens/>
        <w:spacing w:line="360" w:lineRule="auto"/>
        <w:ind w:left="1418" w:right="423" w:hanging="425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Невозможность ограничить инвестиционную деятельность рамками предприятия, так как возникает необходимость привлечения сторонних организаций, цели которых не всегда совпадают с целями предприятия.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Все это делает принятие решения по вопросу вложения капитала ключевой проблемой инвестиционного менеджмента. Процедура принятия решения подразумевает оценку и выбор варианта, в наибольшей степени соответствующего принятым критериям.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 соответствии с общепринятой практикой инвестиционная деятельность организуется в проектной форме.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Инвестиционный проект – это комплексный план создания или модернизации производства с целью получения экономической выгоды.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Период разработки и реализации инвестиционного проекта называется инвестиционным циклом и состоит из 3-х стадий: </w:t>
      </w:r>
      <w:proofErr w:type="spellStart"/>
      <w:r w:rsidRPr="00D762E7">
        <w:rPr>
          <w:sz w:val="24"/>
          <w:szCs w:val="24"/>
          <w:lang w:val="ru-RU"/>
        </w:rPr>
        <w:t>прединвестиционной</w:t>
      </w:r>
      <w:proofErr w:type="spellEnd"/>
      <w:r w:rsidRPr="00D762E7">
        <w:rPr>
          <w:sz w:val="24"/>
          <w:szCs w:val="24"/>
          <w:lang w:val="ru-RU"/>
        </w:rPr>
        <w:t>, инвестиционной, производственной.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На </w:t>
      </w:r>
      <w:proofErr w:type="spellStart"/>
      <w:r w:rsidRPr="00D762E7">
        <w:rPr>
          <w:sz w:val="24"/>
          <w:szCs w:val="24"/>
          <w:lang w:val="ru-RU"/>
        </w:rPr>
        <w:t>прединвестиционной</w:t>
      </w:r>
      <w:proofErr w:type="spellEnd"/>
      <w:r w:rsidRPr="00D762E7">
        <w:rPr>
          <w:sz w:val="24"/>
          <w:szCs w:val="24"/>
          <w:lang w:val="ru-RU"/>
        </w:rPr>
        <w:t xml:space="preserve"> стадии изучаются возможные варианты реализации проекта, определяются прогнозные оценки затрат, рыночного спроса на продукцию, различных видов эффектов, а также проводятся технико-экономические исследования, связанные с качеством, технологическим уровнем и т.п. Технико-экономическое обоснование проекта либо основывается на экспертных оценках затрат и результатов, либо определяется, исходя из укрупненных (удельных) показателей.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 ходе этих исследований используется итеративный метод получения оценок экономической эффективности проекта. Каждая последующая итерация предполагает использование более точных данных об условиях реализации проекта, т.е. постепенное снижение уровня неопределенности исходной информации.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Параллельно решаются организационные проблемы: уточняются сроки, определяется круг участников проекта, источники финансирования и т.п.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На инвестиционной стадии окончательно отбираются организации, участвующие в проекте: подрядчики и поставщики, готовится соответствующая правовая и проектная документация, создается система управления проектом: в случае нового строительства – создается дирекция будущего предприятия, а на действующем предприятии – назначается управляющий проектом. Проводится строительство, монтаж и наладка оборудования.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lastRenderedPageBreak/>
        <w:t>На производственной стадии – осуществляется эксплуатация объекта.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Реализация инвестиционного проекта может быть представлена, как два взаимосвязанных экономических процесса: инвестирования и получения доходов от вложенных средств. Эти процессы протекают последовательно или на некотором временном отрезке параллельно. Основные стадии инвестиционного цикла представлены на рис. 2.1.1.</w:t>
      </w:r>
    </w:p>
    <w:p w:rsidR="00447CC4" w:rsidRPr="00D762E7" w:rsidRDefault="00447CC4" w:rsidP="00447CC4">
      <w:pPr>
        <w:suppressAutoHyphens/>
        <w:spacing w:line="360" w:lineRule="auto"/>
        <w:ind w:right="423" w:firstLine="567"/>
        <w:jc w:val="both"/>
        <w:rPr>
          <w:sz w:val="24"/>
          <w:szCs w:val="24"/>
          <w:lang w:val="ru-RU"/>
        </w:rPr>
      </w:pPr>
    </w:p>
    <w:p w:rsidR="00447CC4" w:rsidRPr="00D762E7" w:rsidRDefault="001954A8" w:rsidP="00447CC4">
      <w:pPr>
        <w:suppressAutoHyphens/>
        <w:spacing w:line="360" w:lineRule="auto"/>
        <w:ind w:right="423" w:firstLine="567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5438775" cy="193357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C4" w:rsidRPr="00D762E7" w:rsidRDefault="00447CC4" w:rsidP="00447CC4">
      <w:pPr>
        <w:suppressAutoHyphens/>
        <w:spacing w:line="360" w:lineRule="auto"/>
        <w:ind w:right="423" w:firstLine="567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Рис. 2.1.1 Схема стадий инвестиционного проекта.</w:t>
      </w:r>
    </w:p>
    <w:p w:rsidR="00447CC4" w:rsidRPr="00D762E7" w:rsidRDefault="00447CC4" w:rsidP="00447CC4">
      <w:pPr>
        <w:suppressAutoHyphens/>
        <w:spacing w:line="360" w:lineRule="auto"/>
        <w:ind w:right="423" w:firstLine="567"/>
        <w:jc w:val="both"/>
        <w:rPr>
          <w:sz w:val="24"/>
          <w:szCs w:val="24"/>
          <w:lang w:val="ru-RU"/>
        </w:rPr>
      </w:pP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Все стадии вместе составляют расчетный период, который охватывает инвестиционный процесс, процесс </w:t>
      </w:r>
      <w:proofErr w:type="gramStart"/>
      <w:r w:rsidRPr="00D762E7">
        <w:rPr>
          <w:sz w:val="24"/>
          <w:szCs w:val="24"/>
          <w:lang w:val="ru-RU"/>
        </w:rPr>
        <w:t>производства</w:t>
      </w:r>
      <w:proofErr w:type="gramEnd"/>
      <w:r w:rsidRPr="00D762E7">
        <w:rPr>
          <w:sz w:val="24"/>
          <w:szCs w:val="24"/>
          <w:lang w:val="ru-RU"/>
        </w:rPr>
        <w:t xml:space="preserve"> в ходе которого получают доход, и процесс ликвидации проекта.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Расчетный период – это период времени, в течение которого инвестор вкладывает средства и возвращает их с выгодой для себя в случае благоприятной ситуации. Продолжительность расчетного периода определяется, исходя из периода конкурентоспособности данной технологии или продукция.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Экономическое обоснование включает: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1) экономическую оценку, характеризующую экономический потенциал проекта, т.е. возможность сохранения и прироста капитала;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2) финансовую оценку, характеризующую возможность получения прибыли участниками проекта.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 первом случае расчет проводится без учета налогов и прочих перечислений в бюджет.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 мировой практике для экономической оценки инвестиционных проектов используются рекомендации Всемирного Банка и методика ЮНИДО. Для российских условий на основе международного опыта разработаны Методические рекомендации по оценке эффективности проектов и их отбору для финансирования.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lastRenderedPageBreak/>
        <w:t>Методологической основой разработки этих рекомендаций является моделирование денежных потоков, генерируемых проектом.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Денежный поток включает </w:t>
      </w:r>
      <w:proofErr w:type="gramStart"/>
      <w:r w:rsidRPr="00D762E7">
        <w:rPr>
          <w:sz w:val="24"/>
          <w:szCs w:val="24"/>
          <w:lang w:val="ru-RU"/>
        </w:rPr>
        <w:t>притоки</w:t>
      </w:r>
      <w:proofErr w:type="gramEnd"/>
      <w:r w:rsidRPr="00D762E7">
        <w:rPr>
          <w:sz w:val="24"/>
          <w:szCs w:val="24"/>
          <w:lang w:val="ru-RU"/>
        </w:rPr>
        <w:t xml:space="preserve"> и оттоки денежных средств за определенный период времени, которые рассматриваются в порядке их поступления или выплаты.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Денежный поток, или поток платежей, характеризует процессы инвестирования и получения дохода в виде одной совмещенной последовательности. Результирующий поток платежей формируется как разность между доходами от реализации проекта и расходами в единицу времени.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Модель проекта, или денежных потоков проекта, относят к классу </w:t>
      </w:r>
      <w:proofErr w:type="gramStart"/>
      <w:r w:rsidRPr="00D762E7">
        <w:rPr>
          <w:sz w:val="24"/>
          <w:szCs w:val="24"/>
          <w:lang w:val="ru-RU"/>
        </w:rPr>
        <w:t>имитационных</w:t>
      </w:r>
      <w:proofErr w:type="gramEnd"/>
      <w:r w:rsidRPr="00D762E7">
        <w:rPr>
          <w:sz w:val="24"/>
          <w:szCs w:val="24"/>
          <w:lang w:val="ru-RU"/>
        </w:rPr>
        <w:t xml:space="preserve"> и представляет собой набор формул для расчета притока и оттока денежных средств.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В основу оценок эффективности инвестиционных проектов положены следующие основные принципы: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–</w:t>
      </w:r>
      <w:r w:rsidRPr="00D762E7">
        <w:rPr>
          <w:sz w:val="24"/>
          <w:szCs w:val="24"/>
          <w:lang w:val="ru-RU"/>
        </w:rPr>
        <w:tab/>
        <w:t xml:space="preserve"> Рассмотрение проекта на протяжении всего его жизненного цикла </w:t>
      </w:r>
      <w:proofErr w:type="gramStart"/>
      <w:r w:rsidRPr="00D762E7">
        <w:rPr>
          <w:sz w:val="24"/>
          <w:szCs w:val="24"/>
          <w:lang w:val="ru-RU"/>
        </w:rPr>
        <w:t xml:space="preserve">( </w:t>
      </w:r>
      <w:proofErr w:type="gramEnd"/>
      <w:r w:rsidRPr="00D762E7">
        <w:rPr>
          <w:sz w:val="24"/>
          <w:szCs w:val="24"/>
          <w:lang w:val="ru-RU"/>
        </w:rPr>
        <w:t xml:space="preserve">расчетного периода ) – от проведения </w:t>
      </w:r>
      <w:proofErr w:type="spellStart"/>
      <w:r w:rsidRPr="00D762E7">
        <w:rPr>
          <w:sz w:val="24"/>
          <w:szCs w:val="24"/>
          <w:lang w:val="ru-RU"/>
        </w:rPr>
        <w:t>прединвестиционных</w:t>
      </w:r>
      <w:proofErr w:type="spellEnd"/>
      <w:r w:rsidRPr="00D762E7">
        <w:rPr>
          <w:sz w:val="24"/>
          <w:szCs w:val="24"/>
          <w:lang w:val="ru-RU"/>
        </w:rPr>
        <w:t xml:space="preserve"> исследований до прекращения проекта.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–</w:t>
      </w:r>
      <w:r w:rsidRPr="00D762E7">
        <w:rPr>
          <w:sz w:val="24"/>
          <w:szCs w:val="24"/>
          <w:lang w:val="ru-RU"/>
        </w:rPr>
        <w:tab/>
        <w:t xml:space="preserve"> Сопоставимость условий сравнения различных проектов (вариантов проекта).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–</w:t>
      </w:r>
      <w:r w:rsidRPr="00D762E7">
        <w:rPr>
          <w:sz w:val="24"/>
          <w:szCs w:val="24"/>
          <w:lang w:val="ru-RU"/>
        </w:rPr>
        <w:tab/>
        <w:t xml:space="preserve"> Положительности и максимума эффекта. Для того, чтобы проект был признан эффективным, с точки зрения инвестора, необходимо, чтобы эффект реализации был положительным; при сравнении альтернативных вариантов предпочтение отдается проекту с наибольшим значением эффекта.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–</w:t>
      </w:r>
      <w:r w:rsidRPr="00D762E7">
        <w:rPr>
          <w:sz w:val="24"/>
          <w:szCs w:val="24"/>
          <w:lang w:val="ru-RU"/>
        </w:rPr>
        <w:tab/>
        <w:t xml:space="preserve"> Учет предстоящих затрат и поступлений, связанных только с разработкой и реализацией проекта. Этот принцип принято называть проектным подходом.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– </w:t>
      </w:r>
      <w:r w:rsidRPr="00D762E7">
        <w:rPr>
          <w:sz w:val="24"/>
          <w:szCs w:val="24"/>
          <w:lang w:val="ru-RU"/>
        </w:rPr>
        <w:tab/>
        <w:t>Проведение сравнения «с проектом» и «без проекта» в течение расчетного периода. Ошибочный вариант сравнения – «до проекта» и «после проекта».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–</w:t>
      </w:r>
      <w:r w:rsidRPr="00D762E7">
        <w:rPr>
          <w:sz w:val="24"/>
          <w:szCs w:val="24"/>
          <w:lang w:val="ru-RU"/>
        </w:rPr>
        <w:tab/>
        <w:t xml:space="preserve">  Учет в затратах потребности в оборотных средствах, необходимых для функционирования производственных фондов.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– </w:t>
      </w:r>
      <w:r w:rsidRPr="00D762E7">
        <w:rPr>
          <w:sz w:val="24"/>
          <w:szCs w:val="24"/>
          <w:lang w:val="ru-RU"/>
        </w:rPr>
        <w:tab/>
      </w:r>
      <w:proofErr w:type="spellStart"/>
      <w:r w:rsidRPr="00D762E7">
        <w:rPr>
          <w:sz w:val="24"/>
          <w:szCs w:val="24"/>
          <w:lang w:val="ru-RU"/>
        </w:rPr>
        <w:t>Многоэтапность</w:t>
      </w:r>
      <w:proofErr w:type="spellEnd"/>
      <w:r w:rsidRPr="00D762E7">
        <w:rPr>
          <w:sz w:val="24"/>
          <w:szCs w:val="24"/>
          <w:lang w:val="ru-RU"/>
        </w:rPr>
        <w:t xml:space="preserve"> оценки. Эффективность проекта на различных стадиях его подготовки и реализации определяется заново с различной глубиной проработки.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Увеличение глубины проработки связано с учетом большего числа влияющих факторов, уточнением оценок поступлений и затрат, применением более сложных </w:t>
      </w:r>
      <w:r w:rsidRPr="00D762E7">
        <w:rPr>
          <w:sz w:val="24"/>
          <w:szCs w:val="24"/>
          <w:lang w:val="ru-RU"/>
        </w:rPr>
        <w:lastRenderedPageBreak/>
        <w:t xml:space="preserve">методов анализа. Оценка эффективности может быть получена как без учета, так и с учетом неравноценности денежных потоков, относящихся к разным периодам времени, инфляции, структуры и цены капитала, динамики изменения потребности в оборотных средствах по годам расчетного периода и т.п.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Составляющие капвложений в зависимости от глубины проработки оцениваются </w:t>
      </w:r>
      <w:proofErr w:type="gramStart"/>
      <w:r w:rsidRPr="00D762E7">
        <w:rPr>
          <w:sz w:val="24"/>
          <w:szCs w:val="24"/>
          <w:lang w:val="ru-RU"/>
        </w:rPr>
        <w:t>по разному</w:t>
      </w:r>
      <w:proofErr w:type="gramEnd"/>
      <w:r w:rsidRPr="00D762E7">
        <w:rPr>
          <w:sz w:val="24"/>
          <w:szCs w:val="24"/>
          <w:lang w:val="ru-RU"/>
        </w:rPr>
        <w:t xml:space="preserve">: на основе удельных показателей, исходя из стоимости аналогичных проектов, по результатам расчета сметы затрат.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Принятие решения об инвестировании проекта основывается на сравнении показателей финансово-экономической эффективности альтернативных вариантов вложения капитала.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Как уже отмечалось, отличительной чертой инвестиционной деятельности является альтернативность. Любая инженерная задача предполагает </w:t>
      </w:r>
      <w:proofErr w:type="spellStart"/>
      <w:r w:rsidRPr="00D762E7">
        <w:rPr>
          <w:sz w:val="24"/>
          <w:szCs w:val="24"/>
          <w:lang w:val="ru-RU"/>
        </w:rPr>
        <w:t>многовариантность</w:t>
      </w:r>
      <w:proofErr w:type="spellEnd"/>
      <w:r w:rsidRPr="00D762E7">
        <w:rPr>
          <w:sz w:val="24"/>
          <w:szCs w:val="24"/>
          <w:lang w:val="ru-RU"/>
        </w:rPr>
        <w:t xml:space="preserve"> решения. В энергетической отрасли благодаря взаимозаменяемости энергоресурсов всегда имеются возможности по-разному решать проблемы энергоснабжения. Каждый вариант решения – это вариант инвестиционного проекта. В результате проведения финансово-экономического анализа выбирается вариант, обеспечивающий получение наибольшего экономического результата. При сравнении вариантов должны выполняться условия сопоставимости вариантов по производственному эффекту. При решении проблем энергоснабжения должно обеспечиваться производство одинакового количества </w:t>
      </w:r>
      <w:proofErr w:type="spellStart"/>
      <w:r w:rsidRPr="00D762E7">
        <w:rPr>
          <w:sz w:val="24"/>
          <w:szCs w:val="24"/>
          <w:lang w:val="ru-RU"/>
        </w:rPr>
        <w:t>энергопресурсо</w:t>
      </w:r>
      <w:proofErr w:type="spellEnd"/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Для оценки эффективности инвестиционного проекта необходимо использовать следующую информацию: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1)</w:t>
      </w:r>
      <w:r w:rsidRPr="00D762E7">
        <w:rPr>
          <w:sz w:val="24"/>
          <w:szCs w:val="24"/>
          <w:lang w:val="ru-RU"/>
        </w:rPr>
        <w:tab/>
        <w:t>развернутый во времени процесс создания или модернизации предприятия (распределение во времени капитальных вложений);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2)</w:t>
      </w:r>
      <w:r w:rsidRPr="00D762E7">
        <w:rPr>
          <w:sz w:val="24"/>
          <w:szCs w:val="24"/>
          <w:lang w:val="ru-RU"/>
        </w:rPr>
        <w:tab/>
        <w:t>источники финансирования проекта;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3)</w:t>
      </w:r>
      <w:r w:rsidRPr="00D762E7">
        <w:rPr>
          <w:sz w:val="24"/>
          <w:szCs w:val="24"/>
          <w:lang w:val="ru-RU"/>
        </w:rPr>
        <w:tab/>
        <w:t>развернутый во времени процесс освоения производства;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4)</w:t>
      </w:r>
      <w:r w:rsidRPr="00D762E7">
        <w:rPr>
          <w:sz w:val="24"/>
          <w:szCs w:val="24"/>
          <w:lang w:val="ru-RU"/>
        </w:rPr>
        <w:tab/>
        <w:t>цену на продукцию (тарифы на электроэнергию и тепло);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5)</w:t>
      </w:r>
      <w:r w:rsidRPr="00D762E7">
        <w:rPr>
          <w:sz w:val="24"/>
          <w:szCs w:val="24"/>
          <w:lang w:val="ru-RU"/>
        </w:rPr>
        <w:tab/>
        <w:t>структуру инвестиционных затрат и издержек;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6)</w:t>
      </w:r>
      <w:r w:rsidRPr="00D762E7">
        <w:rPr>
          <w:sz w:val="24"/>
          <w:szCs w:val="24"/>
          <w:lang w:val="ru-RU"/>
        </w:rPr>
        <w:tab/>
        <w:t>стоимость (цену) капитала.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Экономическая оценка эффективности инвестиционных проектов заключается в сопоставлении капитальных затрат по всем источникам финансирования, эксплуатационных издержек и прочих затрат с поступлением денежных средств, которые будут иметь место при реализации производимой продукции.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Причем на стадии технико-экономических исследований оценивается экономическая эффективность объектов в целом и выбирается лучший вариант. После </w:t>
      </w:r>
      <w:r w:rsidRPr="00D762E7">
        <w:rPr>
          <w:sz w:val="24"/>
          <w:szCs w:val="24"/>
          <w:lang w:val="ru-RU"/>
        </w:rPr>
        <w:lastRenderedPageBreak/>
        <w:t>составления программы финансирования проводятся повторные расчеты с учетом источников финансирования. Из нескольких вариантов финансирования выбирается лучший вариант и оформляется в виде бизнес-плана.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Бизнес-план содержит план маркетинга и производственную программу, на основе </w:t>
      </w:r>
      <w:proofErr w:type="gramStart"/>
      <w:r w:rsidRPr="00D762E7">
        <w:rPr>
          <w:sz w:val="24"/>
          <w:szCs w:val="24"/>
          <w:lang w:val="ru-RU"/>
        </w:rPr>
        <w:t>которых</w:t>
      </w:r>
      <w:proofErr w:type="gramEnd"/>
      <w:r w:rsidRPr="00D762E7">
        <w:rPr>
          <w:sz w:val="24"/>
          <w:szCs w:val="24"/>
          <w:lang w:val="ru-RU"/>
        </w:rPr>
        <w:t xml:space="preserve"> разрабатывается финансово-экономическое обоснование проекта и финансовый план. </w:t>
      </w:r>
    </w:p>
    <w:p w:rsidR="00447CC4" w:rsidRPr="00D762E7" w:rsidRDefault="00447CC4" w:rsidP="00A7362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На практике используются два подхода к оценке экономической эффективности: первый – упрощенный, без учета фактора времени и второй – с учетом фактора времени, что позволяет учесть неравноценность доходов и расходов, относящихся к разным периодам времени.</w:t>
      </w:r>
    </w:p>
    <w:p w:rsidR="00447CC4" w:rsidRPr="00D762E7" w:rsidRDefault="00447CC4" w:rsidP="00447CC4">
      <w:pPr>
        <w:suppressAutoHyphens/>
        <w:spacing w:line="360" w:lineRule="auto"/>
        <w:ind w:right="423" w:firstLine="567"/>
        <w:jc w:val="both"/>
        <w:rPr>
          <w:sz w:val="24"/>
          <w:szCs w:val="24"/>
          <w:lang w:val="ru-RU"/>
        </w:rPr>
      </w:pPr>
    </w:p>
    <w:p w:rsidR="00447CC4" w:rsidRPr="00D762E7" w:rsidRDefault="00447CC4" w:rsidP="00447CC4">
      <w:pPr>
        <w:suppressAutoHyphens/>
        <w:spacing w:line="360" w:lineRule="auto"/>
        <w:ind w:right="423" w:firstLine="567"/>
        <w:jc w:val="both"/>
        <w:rPr>
          <w:sz w:val="24"/>
          <w:szCs w:val="24"/>
          <w:lang w:val="ru-RU"/>
        </w:rPr>
      </w:pPr>
    </w:p>
    <w:p w:rsidR="001954A8" w:rsidRPr="00BE7D9A" w:rsidRDefault="001954A8" w:rsidP="001954A8">
      <w:pPr>
        <w:suppressAutoHyphens/>
        <w:spacing w:line="360" w:lineRule="auto"/>
        <w:ind w:right="423"/>
        <w:jc w:val="both"/>
        <w:rPr>
          <w:b/>
          <w:sz w:val="28"/>
          <w:szCs w:val="28"/>
          <w:lang w:val="ru-RU"/>
        </w:rPr>
      </w:pPr>
      <w:r w:rsidRPr="00BE7D9A">
        <w:rPr>
          <w:b/>
          <w:sz w:val="28"/>
          <w:szCs w:val="28"/>
          <w:lang w:val="ru-RU"/>
        </w:rPr>
        <w:t>3.</w:t>
      </w:r>
      <w:r w:rsidR="009C01A5" w:rsidRPr="00BE7D9A">
        <w:rPr>
          <w:b/>
          <w:sz w:val="28"/>
          <w:szCs w:val="28"/>
          <w:lang w:val="ru-RU"/>
        </w:rPr>
        <w:t>2</w:t>
      </w:r>
      <w:r w:rsidRPr="00BE7D9A">
        <w:rPr>
          <w:b/>
          <w:sz w:val="28"/>
          <w:szCs w:val="28"/>
          <w:lang w:val="ru-RU"/>
        </w:rPr>
        <w:t xml:space="preserve"> </w:t>
      </w:r>
      <w:r w:rsidR="009C01A5" w:rsidRPr="00BE7D9A">
        <w:rPr>
          <w:b/>
          <w:sz w:val="28"/>
          <w:szCs w:val="28"/>
          <w:lang w:val="ru-RU"/>
        </w:rPr>
        <w:t xml:space="preserve"> </w:t>
      </w:r>
      <w:r w:rsidR="004A2A77" w:rsidRPr="00BE7D9A">
        <w:rPr>
          <w:b/>
          <w:sz w:val="28"/>
          <w:szCs w:val="28"/>
          <w:lang w:val="ru-RU"/>
        </w:rPr>
        <w:t>Анализ себестоимости продукции до и после реализации проекта.</w:t>
      </w:r>
    </w:p>
    <w:p w:rsidR="001954A8" w:rsidRPr="001954A8" w:rsidRDefault="001954A8" w:rsidP="001954A8">
      <w:pPr>
        <w:spacing w:line="360" w:lineRule="auto"/>
        <w:rPr>
          <w:sz w:val="24"/>
          <w:szCs w:val="24"/>
          <w:lang w:val="ru-RU"/>
        </w:rPr>
      </w:pPr>
    </w:p>
    <w:p w:rsidR="0083181A" w:rsidRDefault="009C01A5" w:rsidP="009C01A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3181A" w:rsidRPr="0083181A">
        <w:rPr>
          <w:sz w:val="24"/>
          <w:szCs w:val="24"/>
          <w:lang w:val="ru-RU"/>
        </w:rPr>
        <w:t xml:space="preserve">Для принятия решения по инвестиционному проекту необходимо располагать информацией о характере полного возмещения затрат, а также о соответствии </w:t>
      </w:r>
      <w:proofErr w:type="gramStart"/>
      <w:r w:rsidR="0083181A" w:rsidRPr="0083181A">
        <w:rPr>
          <w:sz w:val="24"/>
          <w:szCs w:val="24"/>
          <w:lang w:val="ru-RU"/>
        </w:rPr>
        <w:t>уровня дополнительного получаемого дохода степени риска неопределенности достижения конечного результата</w:t>
      </w:r>
      <w:proofErr w:type="gramEnd"/>
      <w:r w:rsidR="002323BC">
        <w:rPr>
          <w:sz w:val="24"/>
          <w:szCs w:val="24"/>
          <w:lang w:val="ru-RU"/>
        </w:rPr>
        <w:t>.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Различают простые (статические) и усложненные методы оценки, основанные на теории изменения стоимости денег во времени.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i/>
          <w:iCs/>
          <w:sz w:val="24"/>
          <w:szCs w:val="24"/>
          <w:lang w:val="ru-RU"/>
        </w:rPr>
        <w:t>Простые методы </w:t>
      </w:r>
      <w:r w:rsidRPr="0083181A">
        <w:rPr>
          <w:sz w:val="24"/>
          <w:szCs w:val="24"/>
          <w:lang w:val="ru-RU"/>
        </w:rPr>
        <w:t>традиционно использовались в отечественной практике. Методические рекомендации по расчету экономической эффективности капитальных вложений предусматривали систему показателей, отвечающую действующим условиям хозяйствования.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К важнейшим показателям относятся: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1) коэффициент общей экономической эффективности капитальных вложений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 xml:space="preserve">Э = </w:t>
      </w:r>
      <w:proofErr w:type="gramStart"/>
      <w:r w:rsidRPr="0083181A">
        <w:rPr>
          <w:sz w:val="24"/>
          <w:szCs w:val="24"/>
          <w:lang w:val="ru-RU"/>
        </w:rPr>
        <w:t>П</w:t>
      </w:r>
      <w:proofErr w:type="gramEnd"/>
      <w:r w:rsidRPr="0083181A">
        <w:rPr>
          <w:sz w:val="24"/>
          <w:szCs w:val="24"/>
          <w:lang w:val="ru-RU"/>
        </w:rPr>
        <w:t>/К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где </w:t>
      </w:r>
      <w:proofErr w:type="gramStart"/>
      <w:r w:rsidRPr="0083181A">
        <w:rPr>
          <w:i/>
          <w:iCs/>
          <w:sz w:val="24"/>
          <w:szCs w:val="24"/>
          <w:lang w:val="ru-RU"/>
        </w:rPr>
        <w:t>П</w:t>
      </w:r>
      <w:proofErr w:type="gramEnd"/>
      <w:r w:rsidRPr="0083181A">
        <w:rPr>
          <w:i/>
          <w:iCs/>
          <w:sz w:val="24"/>
          <w:szCs w:val="24"/>
          <w:lang w:val="ru-RU"/>
        </w:rPr>
        <w:t> </w:t>
      </w:r>
      <w:r w:rsidRPr="0083181A">
        <w:rPr>
          <w:sz w:val="24"/>
          <w:szCs w:val="24"/>
          <w:lang w:val="ru-RU"/>
        </w:rPr>
        <w:t>— годовая прибыль;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proofErr w:type="gramStart"/>
      <w:r w:rsidRPr="0083181A">
        <w:rPr>
          <w:i/>
          <w:iCs/>
          <w:sz w:val="24"/>
          <w:szCs w:val="24"/>
          <w:lang w:val="ru-RU"/>
        </w:rPr>
        <w:t>К</w:t>
      </w:r>
      <w:proofErr w:type="gramEnd"/>
      <w:r w:rsidRPr="0083181A">
        <w:rPr>
          <w:i/>
          <w:iCs/>
          <w:sz w:val="24"/>
          <w:szCs w:val="24"/>
          <w:lang w:val="ru-RU"/>
        </w:rPr>
        <w:t> </w:t>
      </w:r>
      <w:r w:rsidRPr="0083181A">
        <w:rPr>
          <w:sz w:val="24"/>
          <w:szCs w:val="24"/>
          <w:lang w:val="ru-RU"/>
        </w:rPr>
        <w:t>— капитальные вложения;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2) срок окупаемости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Т = К/</w:t>
      </w:r>
      <w:proofErr w:type="gramStart"/>
      <w:r w:rsidRPr="0083181A">
        <w:rPr>
          <w:sz w:val="24"/>
          <w:szCs w:val="24"/>
          <w:lang w:val="ru-RU"/>
        </w:rPr>
        <w:t>П</w:t>
      </w:r>
      <w:proofErr w:type="gramEnd"/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3) показатель сравнительной экономической эффективности, основанный на минимизации приведенных затрат,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i/>
          <w:iCs/>
          <w:sz w:val="24"/>
          <w:szCs w:val="24"/>
          <w:lang w:val="ru-RU"/>
        </w:rPr>
        <w:t>П</w:t>
      </w:r>
      <w:r w:rsidRPr="0083181A">
        <w:rPr>
          <w:i/>
          <w:iCs/>
          <w:sz w:val="24"/>
          <w:szCs w:val="24"/>
          <w:vertAlign w:val="subscript"/>
          <w:lang w:val="ru-RU"/>
        </w:rPr>
        <w:t>3</w:t>
      </w:r>
      <w:r w:rsidRPr="0083181A">
        <w:rPr>
          <w:i/>
          <w:iCs/>
          <w:sz w:val="24"/>
          <w:szCs w:val="24"/>
          <w:lang w:val="ru-RU"/>
        </w:rPr>
        <w:t>=</w:t>
      </w:r>
      <w:proofErr w:type="gramStart"/>
      <w:r w:rsidRPr="0083181A">
        <w:rPr>
          <w:i/>
          <w:iCs/>
          <w:sz w:val="24"/>
          <w:szCs w:val="24"/>
          <w:lang w:val="ru-RU"/>
        </w:rPr>
        <w:t>С+Е</w:t>
      </w:r>
      <w:r w:rsidRPr="0083181A">
        <w:rPr>
          <w:i/>
          <w:iCs/>
          <w:sz w:val="24"/>
          <w:szCs w:val="24"/>
          <w:vertAlign w:val="subscript"/>
          <w:lang w:val="ru-RU"/>
        </w:rPr>
        <w:t>Н</w:t>
      </w:r>
      <w:proofErr w:type="gramEnd"/>
      <w:r w:rsidRPr="0083181A">
        <w:rPr>
          <w:i/>
          <w:iCs/>
          <w:sz w:val="24"/>
          <w:szCs w:val="24"/>
          <w:lang w:val="ru-RU"/>
        </w:rPr>
        <w:t xml:space="preserve"> * К:,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где</w:t>
      </w:r>
      <w:proofErr w:type="gramStart"/>
      <w:r w:rsidRPr="0083181A">
        <w:rPr>
          <w:sz w:val="24"/>
          <w:szCs w:val="24"/>
          <w:lang w:val="ru-RU"/>
        </w:rPr>
        <w:t xml:space="preserve"> С</w:t>
      </w:r>
      <w:proofErr w:type="gramEnd"/>
      <w:r w:rsidRPr="0083181A">
        <w:rPr>
          <w:sz w:val="24"/>
          <w:szCs w:val="24"/>
          <w:lang w:val="ru-RU"/>
        </w:rPr>
        <w:t xml:space="preserve"> — текущие затраты (себестоимость) по тому же варианту;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proofErr w:type="spellStart"/>
      <w:r w:rsidRPr="0083181A">
        <w:rPr>
          <w:i/>
          <w:iCs/>
          <w:sz w:val="24"/>
          <w:szCs w:val="24"/>
          <w:lang w:val="ru-RU"/>
        </w:rPr>
        <w:lastRenderedPageBreak/>
        <w:t>Е</w:t>
      </w:r>
      <w:r w:rsidRPr="0083181A">
        <w:rPr>
          <w:i/>
          <w:iCs/>
          <w:sz w:val="24"/>
          <w:szCs w:val="24"/>
          <w:vertAlign w:val="subscript"/>
          <w:lang w:val="ru-RU"/>
        </w:rPr>
        <w:t>н</w:t>
      </w:r>
      <w:proofErr w:type="spellEnd"/>
      <w:r w:rsidRPr="0083181A">
        <w:rPr>
          <w:i/>
          <w:iCs/>
          <w:sz w:val="24"/>
          <w:szCs w:val="24"/>
          <w:lang w:val="ru-RU"/>
        </w:rPr>
        <w:t> </w:t>
      </w:r>
      <w:r w:rsidRPr="0083181A">
        <w:rPr>
          <w:sz w:val="24"/>
          <w:szCs w:val="24"/>
          <w:lang w:val="ru-RU"/>
        </w:rPr>
        <w:t>— нормативный коэффициент эффективности капитальных вложений;</w:t>
      </w:r>
    </w:p>
    <w:p w:rsidR="0083181A" w:rsidRPr="0083181A" w:rsidRDefault="0083181A" w:rsidP="0083181A">
      <w:pPr>
        <w:spacing w:line="360" w:lineRule="auto"/>
        <w:ind w:firstLine="539"/>
        <w:jc w:val="both"/>
        <w:rPr>
          <w:sz w:val="24"/>
          <w:szCs w:val="24"/>
          <w:lang w:val="ru-RU"/>
        </w:rPr>
      </w:pPr>
      <w:proofErr w:type="gramStart"/>
      <w:r w:rsidRPr="0083181A">
        <w:rPr>
          <w:i/>
          <w:iCs/>
          <w:sz w:val="24"/>
          <w:szCs w:val="24"/>
          <w:lang w:val="ru-RU"/>
        </w:rPr>
        <w:t>К</w:t>
      </w:r>
      <w:proofErr w:type="gramEnd"/>
      <w:r w:rsidRPr="0083181A">
        <w:rPr>
          <w:i/>
          <w:iCs/>
          <w:sz w:val="24"/>
          <w:szCs w:val="24"/>
          <w:lang w:val="ru-RU"/>
        </w:rPr>
        <w:t> </w:t>
      </w:r>
      <w:r w:rsidRPr="0083181A">
        <w:rPr>
          <w:sz w:val="24"/>
          <w:szCs w:val="24"/>
          <w:lang w:val="ru-RU"/>
        </w:rPr>
        <w:t xml:space="preserve">— </w:t>
      </w:r>
      <w:proofErr w:type="gramStart"/>
      <w:r w:rsidRPr="0083181A">
        <w:rPr>
          <w:sz w:val="24"/>
          <w:szCs w:val="24"/>
          <w:lang w:val="ru-RU"/>
        </w:rPr>
        <w:t>капитальные</w:t>
      </w:r>
      <w:proofErr w:type="gramEnd"/>
      <w:r w:rsidRPr="0083181A">
        <w:rPr>
          <w:sz w:val="24"/>
          <w:szCs w:val="24"/>
          <w:lang w:val="ru-RU"/>
        </w:rPr>
        <w:t xml:space="preserve"> вложения по каждому варианту.</w:t>
      </w:r>
    </w:p>
    <w:p w:rsidR="0083181A" w:rsidRPr="0083181A" w:rsidRDefault="0083181A" w:rsidP="0083181A">
      <w:pPr>
        <w:spacing w:line="360" w:lineRule="auto"/>
        <w:ind w:firstLine="540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>Отличительной чертой инвестиционного процесса является разрыв во времени, как правило, более одного года, между вложением денег, имущества или имущественных прав и получением дохода. Основным недостатком ранее действовавших отечественных методик было игнорирование временной оценки затрат и доходов.</w:t>
      </w:r>
    </w:p>
    <w:p w:rsidR="0083181A" w:rsidRDefault="0083181A" w:rsidP="0083181A">
      <w:pPr>
        <w:spacing w:line="360" w:lineRule="auto"/>
        <w:jc w:val="both"/>
        <w:rPr>
          <w:sz w:val="24"/>
          <w:szCs w:val="24"/>
          <w:lang w:val="ru-RU"/>
        </w:rPr>
      </w:pPr>
    </w:p>
    <w:p w:rsidR="001954A8" w:rsidRPr="001954A8" w:rsidRDefault="0083181A" w:rsidP="001954A8">
      <w:pPr>
        <w:widowControl w:val="0"/>
        <w:spacing w:line="360" w:lineRule="auto"/>
        <w:ind w:firstLine="709"/>
        <w:jc w:val="both"/>
        <w:rPr>
          <w:rStyle w:val="SUBST"/>
          <w:b w:val="0"/>
          <w:i w:val="0"/>
          <w:sz w:val="24"/>
          <w:szCs w:val="24"/>
          <w:lang w:val="ru-RU"/>
        </w:rPr>
      </w:pPr>
      <w:r w:rsidRPr="0083181A">
        <w:rPr>
          <w:rStyle w:val="SUBST"/>
          <w:sz w:val="24"/>
          <w:szCs w:val="24"/>
          <w:lang w:val="ru-RU"/>
        </w:rPr>
        <w:t>Метод чистого дисконтированного дохода.</w:t>
      </w:r>
    </w:p>
    <w:p w:rsidR="0083181A" w:rsidRPr="0083181A" w:rsidRDefault="0083181A" w:rsidP="0083181A">
      <w:pPr>
        <w:pStyle w:val="af3"/>
        <w:spacing w:line="360" w:lineRule="auto"/>
        <w:ind w:firstLine="709"/>
        <w:rPr>
          <w:sz w:val="24"/>
          <w:szCs w:val="24"/>
        </w:rPr>
      </w:pPr>
      <w:r w:rsidRPr="0083181A">
        <w:rPr>
          <w:sz w:val="24"/>
          <w:szCs w:val="24"/>
        </w:rPr>
        <w:t>Основан на сопоставлении величины исходной инвестиции с общей суммой дисконтированных денежных поступлений, полученных в результате реализации проекта (прогноз).</w:t>
      </w:r>
    </w:p>
    <w:p w:rsidR="0083181A" w:rsidRPr="0083181A" w:rsidRDefault="00722C3E" w:rsidP="0083181A">
      <w:pPr>
        <w:pStyle w:val="af3"/>
        <w:spacing w:line="360" w:lineRule="auto"/>
        <w:ind w:firstLine="709"/>
        <w:rPr>
          <w:sz w:val="24"/>
          <w:szCs w:val="24"/>
        </w:rPr>
      </w:pPr>
      <w:r w:rsidRPr="00FC15CC">
        <w:rPr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12" o:title=""/>
          </v:shape>
          <o:OLEObject Type="Embed" ProgID="Equation.3" ShapeID="_x0000_i1025" DrawAspect="Content" ObjectID="_1463783665" r:id="rId13"/>
        </w:object>
      </w:r>
      <w:r w:rsidRPr="00FC15CC">
        <w:rPr>
          <w:position w:val="-46"/>
          <w:sz w:val="24"/>
          <w:szCs w:val="24"/>
        </w:rPr>
        <w:object w:dxaOrig="2120" w:dyaOrig="859">
          <v:shape id="_x0000_i1026" type="#_x0000_t75" style="width:122.25pt;height:49.5pt" o:ole="" fillcolor="window">
            <v:imagedata r:id="rId14" o:title=""/>
          </v:shape>
          <o:OLEObject Type="Embed" ProgID="Equation.3" ShapeID="_x0000_i1026" DrawAspect="Content" ObjectID="_1463783666" r:id="rId15"/>
        </w:object>
      </w:r>
      <w:r w:rsidR="0083181A" w:rsidRPr="0083181A">
        <w:rPr>
          <w:sz w:val="24"/>
          <w:szCs w:val="24"/>
        </w:rPr>
        <w:t xml:space="preserve">, </w:t>
      </w:r>
    </w:p>
    <w:p w:rsidR="0083181A" w:rsidRPr="0083181A" w:rsidRDefault="0083181A" w:rsidP="0083181A">
      <w:pPr>
        <w:pStyle w:val="af3"/>
        <w:spacing w:line="360" w:lineRule="auto"/>
        <w:ind w:firstLine="709"/>
        <w:rPr>
          <w:sz w:val="24"/>
          <w:szCs w:val="24"/>
        </w:rPr>
      </w:pPr>
      <w:r w:rsidRPr="0083181A">
        <w:rPr>
          <w:sz w:val="24"/>
          <w:szCs w:val="24"/>
        </w:rPr>
        <w:t xml:space="preserve">где </w:t>
      </w:r>
      <w:proofErr w:type="spellStart"/>
      <w:r w:rsidRPr="0083181A">
        <w:rPr>
          <w:i/>
          <w:sz w:val="24"/>
          <w:szCs w:val="24"/>
        </w:rPr>
        <w:t>CFt</w:t>
      </w:r>
      <w:proofErr w:type="spellEnd"/>
      <w:r w:rsidRPr="0083181A">
        <w:rPr>
          <w:sz w:val="24"/>
          <w:szCs w:val="24"/>
        </w:rPr>
        <w:t xml:space="preserve"> – годовой доход за t-год,</w:t>
      </w:r>
    </w:p>
    <w:p w:rsidR="0083181A" w:rsidRPr="0083181A" w:rsidRDefault="0083181A" w:rsidP="0083181A">
      <w:pPr>
        <w:pStyle w:val="af3"/>
        <w:spacing w:line="360" w:lineRule="auto"/>
        <w:ind w:firstLine="709"/>
        <w:rPr>
          <w:sz w:val="24"/>
          <w:szCs w:val="24"/>
        </w:rPr>
      </w:pPr>
      <w:r w:rsidRPr="0083181A">
        <w:rPr>
          <w:sz w:val="24"/>
          <w:szCs w:val="24"/>
        </w:rPr>
        <w:t xml:space="preserve">    </w:t>
      </w:r>
      <w:r w:rsidRPr="0083181A">
        <w:rPr>
          <w:i/>
          <w:sz w:val="24"/>
          <w:szCs w:val="24"/>
        </w:rPr>
        <w:t>I</w:t>
      </w:r>
      <w:r w:rsidRPr="0083181A">
        <w:rPr>
          <w:sz w:val="24"/>
          <w:szCs w:val="24"/>
        </w:rPr>
        <w:t xml:space="preserve"> </w:t>
      </w:r>
      <w:r w:rsidRPr="0083181A">
        <w:rPr>
          <w:sz w:val="24"/>
          <w:szCs w:val="24"/>
        </w:rPr>
        <w:noBreakHyphen/>
        <w:t xml:space="preserve"> инвестиции в нулевой период.</w:t>
      </w:r>
    </w:p>
    <w:p w:rsidR="0083181A" w:rsidRPr="0083181A" w:rsidRDefault="0083181A" w:rsidP="0083181A">
      <w:pPr>
        <w:pStyle w:val="af3"/>
        <w:spacing w:line="360" w:lineRule="auto"/>
        <w:ind w:firstLine="709"/>
        <w:rPr>
          <w:sz w:val="24"/>
          <w:szCs w:val="24"/>
        </w:rPr>
      </w:pPr>
      <w:r w:rsidRPr="0083181A">
        <w:rPr>
          <w:sz w:val="24"/>
          <w:szCs w:val="24"/>
        </w:rPr>
        <w:t xml:space="preserve">Если проект предполагает не разовую инвестицию, а последовательное инвестирование в течение </w:t>
      </w:r>
      <w:proofErr w:type="spellStart"/>
      <w:r w:rsidRPr="0083181A">
        <w:rPr>
          <w:sz w:val="24"/>
          <w:szCs w:val="24"/>
        </w:rPr>
        <w:t>m</w:t>
      </w:r>
      <w:proofErr w:type="spellEnd"/>
      <w:r w:rsidRPr="0083181A">
        <w:rPr>
          <w:sz w:val="24"/>
          <w:szCs w:val="24"/>
        </w:rPr>
        <w:t xml:space="preserve"> лет, то формула расчета NPV модифицируется следующим образом:</w:t>
      </w:r>
    </w:p>
    <w:p w:rsidR="0083181A" w:rsidRPr="0083181A" w:rsidRDefault="00722C3E" w:rsidP="0083181A">
      <w:pPr>
        <w:pStyle w:val="af3"/>
        <w:spacing w:line="360" w:lineRule="auto"/>
        <w:ind w:firstLine="709"/>
        <w:rPr>
          <w:sz w:val="24"/>
          <w:szCs w:val="24"/>
        </w:rPr>
      </w:pPr>
      <w:r w:rsidRPr="00FC15CC">
        <w:rPr>
          <w:position w:val="-42"/>
          <w:sz w:val="24"/>
          <w:szCs w:val="24"/>
        </w:rPr>
        <w:object w:dxaOrig="2900" w:dyaOrig="820">
          <v:shape id="_x0000_i1027" type="#_x0000_t75" style="width:172.5pt;height:49.5pt" o:ole="" fillcolor="window">
            <v:imagedata r:id="rId16" o:title=""/>
          </v:shape>
          <o:OLEObject Type="Embed" ProgID="Equation.3" ShapeID="_x0000_i1027" DrawAspect="Content" ObjectID="_1463783667" r:id="rId17"/>
        </w:object>
      </w:r>
    </w:p>
    <w:p w:rsidR="0083181A" w:rsidRPr="0083181A" w:rsidRDefault="0083181A" w:rsidP="0083181A">
      <w:pPr>
        <w:pStyle w:val="af3"/>
        <w:spacing w:line="360" w:lineRule="auto"/>
        <w:ind w:firstLine="709"/>
        <w:rPr>
          <w:sz w:val="24"/>
          <w:szCs w:val="24"/>
        </w:rPr>
      </w:pPr>
      <w:r w:rsidRPr="0083181A">
        <w:rPr>
          <w:sz w:val="24"/>
          <w:szCs w:val="24"/>
        </w:rPr>
        <w:t xml:space="preserve">Очевидно, что если NPV&gt;0 –проект эффективен, его следует принять; если NPV&lt;0 – проект не дает эффекта (убыточен), его следует отвергнуть; если NPV=0 – проект </w:t>
      </w:r>
      <w:r w:rsidRPr="0083181A">
        <w:rPr>
          <w:sz w:val="24"/>
          <w:szCs w:val="24"/>
        </w:rPr>
        <w:softHyphen/>
        <w:t>ни прибыльный и ни убыточный.</w:t>
      </w:r>
    </w:p>
    <w:p w:rsidR="0083181A" w:rsidRDefault="0083181A" w:rsidP="0083181A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83181A">
        <w:rPr>
          <w:sz w:val="24"/>
          <w:szCs w:val="24"/>
          <w:lang w:val="ru-RU"/>
        </w:rPr>
        <w:t xml:space="preserve">При сравнении проектов, следует выбрать тот, у которого  </w:t>
      </w:r>
      <w:r w:rsidRPr="0083181A">
        <w:rPr>
          <w:sz w:val="24"/>
          <w:szCs w:val="24"/>
        </w:rPr>
        <w:t>NPV</w:t>
      </w:r>
      <w:r w:rsidRPr="0083181A">
        <w:rPr>
          <w:sz w:val="24"/>
          <w:szCs w:val="24"/>
          <w:lang w:val="ru-RU"/>
        </w:rPr>
        <w:t xml:space="preserve"> больше. </w:t>
      </w:r>
      <w:proofErr w:type="gramStart"/>
      <w:r w:rsidRPr="0083181A">
        <w:rPr>
          <w:sz w:val="24"/>
          <w:szCs w:val="24"/>
        </w:rPr>
        <w:t>NPV</w:t>
      </w:r>
      <w:r w:rsidRPr="0083181A">
        <w:rPr>
          <w:sz w:val="24"/>
          <w:szCs w:val="24"/>
          <w:lang w:val="ru-RU"/>
        </w:rPr>
        <w:t xml:space="preserve"> различных проектов можно суммировать, следовательно, этот показатель можно использовать в качестве основного при анализе оптимальности инвестиционного портфеля.</w:t>
      </w:r>
      <w:proofErr w:type="gramEnd"/>
    </w:p>
    <w:p w:rsidR="0083181A" w:rsidRDefault="0083181A">
      <w:pPr>
        <w:suppressAutoHyphens/>
        <w:spacing w:line="360" w:lineRule="auto"/>
        <w:ind w:right="423" w:firstLine="709"/>
        <w:jc w:val="both"/>
        <w:rPr>
          <w:sz w:val="28"/>
          <w:szCs w:val="28"/>
          <w:lang w:val="ru-RU"/>
        </w:rPr>
      </w:pPr>
    </w:p>
    <w:p w:rsidR="0083181A" w:rsidRPr="0083181A" w:rsidRDefault="0083181A">
      <w:pPr>
        <w:suppressAutoHyphens/>
        <w:spacing w:line="360" w:lineRule="auto"/>
        <w:ind w:right="423" w:firstLine="709"/>
        <w:jc w:val="both"/>
        <w:rPr>
          <w:b/>
          <w:i/>
          <w:sz w:val="24"/>
          <w:szCs w:val="24"/>
          <w:lang w:val="ru-RU"/>
        </w:rPr>
      </w:pPr>
      <w:r w:rsidRPr="0083181A">
        <w:rPr>
          <w:b/>
          <w:i/>
          <w:sz w:val="24"/>
          <w:szCs w:val="24"/>
          <w:lang w:val="ru-RU"/>
        </w:rPr>
        <w:t>Метод расчета индекса рентабельности инвестиций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proofErr w:type="gramStart"/>
      <w:r w:rsidRPr="00FC15CC">
        <w:rPr>
          <w:sz w:val="24"/>
          <w:szCs w:val="24"/>
          <w:lang w:val="ru-RU"/>
        </w:rPr>
        <w:t>Относительный показатель, позволяющий определить в какой мере возрастает</w:t>
      </w:r>
      <w:proofErr w:type="gramEnd"/>
      <w:r w:rsidRPr="00FC15CC">
        <w:rPr>
          <w:sz w:val="24"/>
          <w:szCs w:val="24"/>
          <w:lang w:val="ru-RU"/>
        </w:rPr>
        <w:t xml:space="preserve"> ценность проекта в расчете на единицу стоимости инвестиции. Индекс рентабельности рассчитывается по формуле: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object w:dxaOrig="1540" w:dyaOrig="1320">
          <v:shape id="_x0000_i1028" type="#_x0000_t75" style="width:125.25pt;height:73.5pt" o:ole="" fillcolor="window">
            <v:imagedata r:id="rId18" o:title=""/>
          </v:shape>
          <o:OLEObject Type="Embed" ProgID="Equation.3" ShapeID="_x0000_i1028" DrawAspect="Content" ObjectID="_1463783668" r:id="rId19"/>
        </w:objec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>Очевидно, что если PI&gt;1 –  проект эффективен, его следует принять, если PI&lt;1 – проект неэффективен, его следует отвергнуть, если PI=1 – проект не дает ни прибыли, ни убытка.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 xml:space="preserve">PI </w:t>
      </w:r>
      <w:proofErr w:type="gramStart"/>
      <w:r w:rsidRPr="00FC15CC">
        <w:rPr>
          <w:sz w:val="24"/>
          <w:szCs w:val="24"/>
          <w:lang w:val="ru-RU"/>
        </w:rPr>
        <w:t>удобен</w:t>
      </w:r>
      <w:proofErr w:type="gramEnd"/>
      <w:r w:rsidRPr="00FC15CC">
        <w:rPr>
          <w:sz w:val="24"/>
          <w:szCs w:val="24"/>
          <w:lang w:val="ru-RU"/>
        </w:rPr>
        <w:t xml:space="preserve"> при выборе одного проекта из ряда альтернативных, имеющих примерно одинаковые значения NPV, либо при комплектовании портфеля инвестиций с максимальным суммируемым значением NPV.</w:t>
      </w:r>
    </w:p>
    <w:p w:rsidR="00FC15CC" w:rsidRDefault="00FC15CC" w:rsidP="00FC15CC">
      <w:pPr>
        <w:suppressAutoHyphens/>
        <w:spacing w:line="360" w:lineRule="auto"/>
        <w:ind w:right="423" w:firstLine="709"/>
        <w:jc w:val="both"/>
        <w:rPr>
          <w:b/>
          <w:sz w:val="24"/>
          <w:szCs w:val="24"/>
          <w:lang w:val="ru-RU"/>
        </w:rPr>
      </w:pPr>
      <w:bookmarkStart w:id="0" w:name="_Toc510264391"/>
    </w:p>
    <w:p w:rsidR="00FC15CC" w:rsidRPr="00FC15CC" w:rsidRDefault="002323BC" w:rsidP="00FC15CC">
      <w:pPr>
        <w:suppressAutoHyphens/>
        <w:spacing w:line="360" w:lineRule="auto"/>
        <w:ind w:right="423" w:firstLine="709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Метод расчета нормы рентабельности инвестиций (внутренняя норма доходности).</w:t>
      </w:r>
      <w:bookmarkEnd w:id="0"/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 xml:space="preserve">Норма рентабельности инвестиций – такое значение коэффициента дисконтирования, при котором NPV проекта </w:t>
      </w:r>
      <w:proofErr w:type="gramStart"/>
      <w:r w:rsidRPr="00FC15CC">
        <w:rPr>
          <w:sz w:val="24"/>
          <w:szCs w:val="24"/>
          <w:lang w:val="ru-RU"/>
        </w:rPr>
        <w:t>равен</w:t>
      </w:r>
      <w:proofErr w:type="gramEnd"/>
      <w:r w:rsidRPr="00FC15CC">
        <w:rPr>
          <w:sz w:val="24"/>
          <w:szCs w:val="24"/>
          <w:lang w:val="ru-RU"/>
        </w:rPr>
        <w:t xml:space="preserve"> нулю: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proofErr w:type="spellStart"/>
      <w:r w:rsidRPr="00FC15CC">
        <w:rPr>
          <w:sz w:val="24"/>
          <w:szCs w:val="24"/>
          <w:lang w:val="ru-RU"/>
        </w:rPr>
        <w:t>IRR=r</w:t>
      </w:r>
      <w:proofErr w:type="spellEnd"/>
      <w:r w:rsidRPr="00FC15CC">
        <w:rPr>
          <w:sz w:val="24"/>
          <w:szCs w:val="24"/>
          <w:lang w:val="ru-RU"/>
        </w:rPr>
        <w:t xml:space="preserve">,  при котором  </w:t>
      </w:r>
      <w:proofErr w:type="spellStart"/>
      <w:r w:rsidRPr="00FC15CC">
        <w:rPr>
          <w:sz w:val="24"/>
          <w:szCs w:val="24"/>
          <w:lang w:val="ru-RU"/>
        </w:rPr>
        <w:t>NPV=f</w:t>
      </w:r>
      <w:proofErr w:type="spellEnd"/>
      <w:r w:rsidRPr="00FC15CC">
        <w:rPr>
          <w:sz w:val="24"/>
          <w:szCs w:val="24"/>
          <w:lang w:val="ru-RU"/>
        </w:rPr>
        <w:t xml:space="preserve"> (</w:t>
      </w:r>
      <w:proofErr w:type="spellStart"/>
      <w:r w:rsidRPr="00FC15CC">
        <w:rPr>
          <w:sz w:val="24"/>
          <w:szCs w:val="24"/>
          <w:lang w:val="ru-RU"/>
        </w:rPr>
        <w:t>r</w:t>
      </w:r>
      <w:proofErr w:type="spellEnd"/>
      <w:r w:rsidRPr="00FC15CC">
        <w:rPr>
          <w:sz w:val="24"/>
          <w:szCs w:val="24"/>
          <w:lang w:val="ru-RU"/>
        </w:rPr>
        <w:t>)=0.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>IRR показывает максимально допустимый относительный уровень расходов, которые могут быть ассоциированы с данным проектом. Например, если проект финансируется за счет ссуды банка, то IRR показывает верхнюю границу банковской процентной ставки, больше которой проект становится неэффективным.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 xml:space="preserve">IRR определяется исходя из того, чтобы было </w:t>
      </w:r>
      <w:proofErr w:type="spellStart"/>
      <w:r w:rsidRPr="00FC15CC">
        <w:rPr>
          <w:sz w:val="24"/>
          <w:szCs w:val="24"/>
          <w:lang w:val="ru-RU"/>
        </w:rPr>
        <w:t>справедливо</w:t>
      </w:r>
      <w:proofErr w:type="gramStart"/>
      <w:r w:rsidRPr="00FC15CC">
        <w:rPr>
          <w:sz w:val="24"/>
          <w:szCs w:val="24"/>
          <w:lang w:val="ru-RU"/>
        </w:rPr>
        <w:t>.р</w:t>
      </w:r>
      <w:proofErr w:type="gramEnd"/>
      <w:r w:rsidRPr="00FC15CC">
        <w:rPr>
          <w:sz w:val="24"/>
          <w:szCs w:val="24"/>
          <w:lang w:val="ru-RU"/>
        </w:rPr>
        <w:t>авенство</w:t>
      </w:r>
      <w:proofErr w:type="spellEnd"/>
      <w:r w:rsidRPr="00FC15CC">
        <w:rPr>
          <w:sz w:val="24"/>
          <w:szCs w:val="24"/>
          <w:lang w:val="ru-RU"/>
        </w:rPr>
        <w:t xml:space="preserve"> 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object w:dxaOrig="2060" w:dyaOrig="780">
          <v:shape id="_x0000_i1029" type="#_x0000_t75" style="width:107.25pt;height:42.75pt" o:ole="" fillcolor="window">
            <v:imagedata r:id="rId20" o:title=""/>
          </v:shape>
          <o:OLEObject Type="Embed" ProgID="Equation.3" ShapeID="_x0000_i1029" DrawAspect="Content" ObjectID="_1463783669" r:id="rId21"/>
        </w:objec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>Решается методом итераций, если будущие денежные поступления не одинаковы по величине.</w:t>
      </w:r>
    </w:p>
    <w:p w:rsid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 xml:space="preserve">IRR позволяет найти граничное значение коэффициента дисконтирования, разделяющее инвестиции </w:t>
      </w:r>
      <w:proofErr w:type="gramStart"/>
      <w:r w:rsidRPr="00FC15CC">
        <w:rPr>
          <w:sz w:val="24"/>
          <w:szCs w:val="24"/>
          <w:lang w:val="ru-RU"/>
        </w:rPr>
        <w:t>на</w:t>
      </w:r>
      <w:proofErr w:type="gramEnd"/>
      <w:r w:rsidRPr="00FC15CC">
        <w:rPr>
          <w:sz w:val="24"/>
          <w:szCs w:val="24"/>
          <w:lang w:val="ru-RU"/>
        </w:rPr>
        <w:t xml:space="preserve"> приемлемые и невыгодные. Для этого IRR сравнивают с тем уровнем нормы прибыли, которую инвестор выбирает для себя.</w:t>
      </w:r>
    </w:p>
    <w:p w:rsidR="00FC15CC" w:rsidRDefault="00FC15CC" w:rsidP="00FC15CC">
      <w:pPr>
        <w:suppressAutoHyphens/>
        <w:spacing w:line="360" w:lineRule="auto"/>
        <w:ind w:right="423" w:firstLine="709"/>
        <w:jc w:val="both"/>
        <w:rPr>
          <w:b/>
          <w:sz w:val="24"/>
          <w:szCs w:val="24"/>
          <w:lang w:val="ru-RU"/>
        </w:rPr>
      </w:pPr>
      <w:bookmarkStart w:id="1" w:name="_Toc510264392"/>
    </w:p>
    <w:p w:rsidR="00FC15CC" w:rsidRPr="00FC15CC" w:rsidRDefault="002323BC" w:rsidP="00FC15CC">
      <w:pPr>
        <w:suppressAutoHyphens/>
        <w:spacing w:line="360" w:lineRule="auto"/>
        <w:ind w:right="423" w:firstLine="709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Метод определения срока окупаемости инвестиций.</w:t>
      </w:r>
      <w:bookmarkEnd w:id="1"/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 xml:space="preserve">Этот метод один из самых простых и широко распространенных в мировой практике. Алгоритм расчета срока окупаемости (РР) зависит от равномерности распределения прогнозируемых доходов от инвестиций. Если доход распределен по годам равномерно, то срок окупаемости рассчитывается делением единовременных </w:t>
      </w:r>
      <w:r w:rsidRPr="00FC15CC">
        <w:rPr>
          <w:sz w:val="24"/>
          <w:szCs w:val="24"/>
          <w:lang w:val="ru-RU"/>
        </w:rPr>
        <w:lastRenderedPageBreak/>
        <w:t>затрат на величину годового дохода, обусловленного ими. При получении дробного числа, оно округляется в сторону увеличения до ближайшего целого.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>PP – срок, который понадобится для возмещения суммы инвестиций. Если доход распределен по годам равномерно, то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object w:dxaOrig="1020" w:dyaOrig="620">
          <v:shape id="_x0000_i1030" type="#_x0000_t75" style="width:51pt;height:30.75pt" o:ole="" fillcolor="window">
            <v:imagedata r:id="rId22" o:title=""/>
          </v:shape>
          <o:OLEObject Type="Embed" ProgID="Equation.3" ShapeID="_x0000_i1030" DrawAspect="Content" ObjectID="_1463783670" r:id="rId23"/>
        </w:objec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 xml:space="preserve">Если прибыль распределена неравномерно по годам, то производят пошаговое суммирование годичных сумм денежных поступлений до тех пор, пока результат не станет равен </w:t>
      </w:r>
      <w:proofErr w:type="spellStart"/>
      <w:r w:rsidRPr="00FC15CC">
        <w:rPr>
          <w:i/>
          <w:sz w:val="24"/>
          <w:szCs w:val="24"/>
          <w:lang w:val="ru-RU"/>
        </w:rPr>
        <w:t>Io</w:t>
      </w:r>
      <w:proofErr w:type="spellEnd"/>
      <w:r w:rsidRPr="00FC15CC">
        <w:rPr>
          <w:sz w:val="24"/>
          <w:szCs w:val="24"/>
          <w:lang w:val="ru-RU"/>
        </w:rPr>
        <w:t xml:space="preserve"> (прямой подсчет лет, в течение которых инвестиция будет погашена кумулятивным доходом). 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proofErr w:type="spellStart"/>
      <w:r w:rsidRPr="00FC15CC">
        <w:rPr>
          <w:sz w:val="24"/>
          <w:szCs w:val="24"/>
          <w:lang w:val="ru-RU"/>
        </w:rPr>
        <w:t>PP=n</w:t>
      </w:r>
      <w:proofErr w:type="spellEnd"/>
      <w:r w:rsidRPr="00FC15CC">
        <w:rPr>
          <w:sz w:val="24"/>
          <w:szCs w:val="24"/>
          <w:lang w:val="ru-RU"/>
        </w:rPr>
        <w:t>, при котором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object w:dxaOrig="1219" w:dyaOrig="680">
          <v:shape id="_x0000_i1031" type="#_x0000_t75" style="width:56.25pt;height:34.5pt" o:ole="" fillcolor="window">
            <v:imagedata r:id="rId24" o:title=""/>
          </v:shape>
          <o:OLEObject Type="Embed" ProgID="Equation.3" ShapeID="_x0000_i1031" DrawAspect="Content" ObjectID="_1463783671" r:id="rId25"/>
        </w:object>
      </w:r>
      <w:r w:rsidRPr="00FC15CC">
        <w:rPr>
          <w:sz w:val="24"/>
          <w:szCs w:val="24"/>
          <w:lang w:val="ru-RU"/>
        </w:rPr>
        <w:t>.</w:t>
      </w:r>
    </w:p>
    <w:p w:rsidR="00FC15CC" w:rsidRPr="00FC15CC" w:rsidRDefault="00FC15CC" w:rsidP="00FC15CC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>PP рекомендуется определять с использованием дисконтирования.</w:t>
      </w:r>
    </w:p>
    <w:p w:rsidR="00447CC4" w:rsidRPr="00A76D05" w:rsidRDefault="00F75510" w:rsidP="00447CC4">
      <w:pPr>
        <w:pageBreakBefore/>
        <w:suppressAutoHyphens/>
        <w:spacing w:line="360" w:lineRule="auto"/>
        <w:ind w:right="425" w:firstLine="567"/>
        <w:jc w:val="both"/>
        <w:rPr>
          <w:b/>
          <w:sz w:val="28"/>
          <w:szCs w:val="28"/>
          <w:lang w:val="ru-RU"/>
        </w:rPr>
      </w:pPr>
      <w:r w:rsidRPr="00A76D05">
        <w:rPr>
          <w:b/>
          <w:sz w:val="28"/>
          <w:szCs w:val="28"/>
          <w:lang w:val="ru-RU"/>
        </w:rPr>
        <w:lastRenderedPageBreak/>
        <w:t>4</w:t>
      </w:r>
      <w:r w:rsidR="00447CC4" w:rsidRPr="00A76D05">
        <w:rPr>
          <w:b/>
          <w:sz w:val="28"/>
          <w:szCs w:val="28"/>
          <w:lang w:val="ru-RU"/>
        </w:rPr>
        <w:t xml:space="preserve">. </w:t>
      </w:r>
      <w:r w:rsidR="00BE7D9A" w:rsidRPr="00BE7D9A">
        <w:rPr>
          <w:b/>
          <w:sz w:val="28"/>
          <w:szCs w:val="28"/>
          <w:lang w:val="ru-RU"/>
        </w:rPr>
        <w:t>Оценка  экономической эффективности строительства</w:t>
      </w:r>
      <w:r w:rsidR="00BE7D9A">
        <w:rPr>
          <w:b/>
          <w:sz w:val="28"/>
          <w:szCs w:val="28"/>
          <w:lang w:val="ru-RU"/>
        </w:rPr>
        <w:t>.</w:t>
      </w:r>
    </w:p>
    <w:p w:rsidR="00FC15CC" w:rsidRDefault="00FC15CC" w:rsidP="00A76D05">
      <w:p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</w:p>
    <w:p w:rsidR="00FC15CC" w:rsidRDefault="00FC15CC" w:rsidP="00A76D05">
      <w:p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</w:p>
    <w:p w:rsidR="0083181A" w:rsidRDefault="00447CC4" w:rsidP="0083181A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УТЭЦ </w:t>
      </w:r>
      <w:proofErr w:type="gramStart"/>
      <w:r w:rsidRPr="00D762E7">
        <w:rPr>
          <w:sz w:val="24"/>
          <w:szCs w:val="24"/>
          <w:lang w:val="ru-RU"/>
        </w:rPr>
        <w:t>предназначена</w:t>
      </w:r>
      <w:proofErr w:type="gramEnd"/>
      <w:r w:rsidRPr="00D762E7">
        <w:rPr>
          <w:sz w:val="24"/>
          <w:szCs w:val="24"/>
          <w:lang w:val="ru-RU"/>
        </w:rPr>
        <w:t xml:space="preserve"> для утилизации (сжигания в энергетических котлах) доменного газа из сети НЛМК, являющегося побочным продуктом металлургического производства, и использования его для выработки электроэнергии, обеспечения потребителей горячей водой и паром для производственных нужд.</w:t>
      </w:r>
    </w:p>
    <w:p w:rsidR="00447CC4" w:rsidRPr="00D762E7" w:rsidRDefault="00447CC4" w:rsidP="00447CC4">
      <w:pPr>
        <w:suppressLineNumbers/>
        <w:suppressAutoHyphens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При определении потребности в капитальных вложениях необходимо учитывать:</w:t>
      </w:r>
    </w:p>
    <w:p w:rsidR="00447CC4" w:rsidRPr="00D762E7" w:rsidRDefault="00447CC4" w:rsidP="00447CC4">
      <w:pPr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Затраты на приобретение и доставку оборудования по ценам поставщиков (без НДС);</w:t>
      </w:r>
    </w:p>
    <w:p w:rsidR="00447CC4" w:rsidRPr="00D762E7" w:rsidRDefault="00447CC4" w:rsidP="00447CC4">
      <w:pPr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D762E7">
        <w:rPr>
          <w:sz w:val="24"/>
          <w:szCs w:val="24"/>
        </w:rPr>
        <w:t>Затраты</w:t>
      </w:r>
      <w:proofErr w:type="spellEnd"/>
      <w:r w:rsidRPr="00D762E7">
        <w:rPr>
          <w:sz w:val="24"/>
          <w:szCs w:val="24"/>
        </w:rPr>
        <w:t xml:space="preserve"> </w:t>
      </w:r>
      <w:proofErr w:type="spellStart"/>
      <w:r w:rsidRPr="00D762E7">
        <w:rPr>
          <w:sz w:val="24"/>
          <w:szCs w:val="24"/>
        </w:rPr>
        <w:t>на</w:t>
      </w:r>
      <w:proofErr w:type="spellEnd"/>
      <w:r w:rsidRPr="00D762E7">
        <w:rPr>
          <w:sz w:val="24"/>
          <w:szCs w:val="24"/>
        </w:rPr>
        <w:t xml:space="preserve"> </w:t>
      </w:r>
      <w:proofErr w:type="spellStart"/>
      <w:r w:rsidRPr="00D762E7">
        <w:rPr>
          <w:sz w:val="24"/>
          <w:szCs w:val="24"/>
        </w:rPr>
        <w:t>монтаж</w:t>
      </w:r>
      <w:proofErr w:type="spellEnd"/>
      <w:r w:rsidRPr="00D762E7">
        <w:rPr>
          <w:sz w:val="24"/>
          <w:szCs w:val="24"/>
        </w:rPr>
        <w:t xml:space="preserve"> </w:t>
      </w:r>
      <w:proofErr w:type="spellStart"/>
      <w:r w:rsidRPr="00D762E7">
        <w:rPr>
          <w:sz w:val="24"/>
          <w:szCs w:val="24"/>
        </w:rPr>
        <w:t>оборудования</w:t>
      </w:r>
      <w:proofErr w:type="spellEnd"/>
      <w:r w:rsidRPr="00D762E7">
        <w:rPr>
          <w:sz w:val="24"/>
          <w:szCs w:val="24"/>
        </w:rPr>
        <w:t>;</w:t>
      </w:r>
    </w:p>
    <w:p w:rsidR="00447CC4" w:rsidRPr="00D762E7" w:rsidRDefault="00447CC4" w:rsidP="00447CC4">
      <w:pPr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Затраты на строительные и монтажные работы в связи с возможной реконструкцией зданий и помещений;</w:t>
      </w:r>
    </w:p>
    <w:p w:rsidR="00447CC4" w:rsidRPr="00D762E7" w:rsidRDefault="00447CC4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Прочие работы и затраты, включающие: проектирование, руководство, временные здания и сооружения, </w:t>
      </w:r>
      <w:proofErr w:type="spellStart"/>
      <w:r w:rsidRPr="00D762E7">
        <w:rPr>
          <w:sz w:val="24"/>
          <w:szCs w:val="24"/>
          <w:lang w:val="ru-RU"/>
        </w:rPr>
        <w:t>предэксплуатационные</w:t>
      </w:r>
      <w:proofErr w:type="spellEnd"/>
      <w:r w:rsidRPr="00D762E7">
        <w:rPr>
          <w:sz w:val="24"/>
          <w:szCs w:val="24"/>
          <w:lang w:val="ru-RU"/>
        </w:rPr>
        <w:t xml:space="preserve"> издержки, непредвиденные затраты.</w:t>
      </w:r>
    </w:p>
    <w:p w:rsidR="00447CC4" w:rsidRPr="00FE583C" w:rsidRDefault="00447CC4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Стоимость ОС по плану составляет 7 199 781 165 руб</w:t>
      </w:r>
      <w:r w:rsidR="002447E0">
        <w:rPr>
          <w:sz w:val="24"/>
          <w:szCs w:val="24"/>
          <w:lang w:val="ru-RU"/>
        </w:rPr>
        <w:t>.</w:t>
      </w:r>
    </w:p>
    <w:p w:rsidR="00447CC4" w:rsidRPr="00D762E7" w:rsidRDefault="00447CC4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Срок полезного использования объекта – 361 месяц. </w:t>
      </w:r>
    </w:p>
    <w:p w:rsidR="00657AF0" w:rsidRPr="00D762E7" w:rsidRDefault="00657AF0" w:rsidP="00657AF0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proofErr w:type="spellStart"/>
      <w:r w:rsidRPr="00D762E7">
        <w:rPr>
          <w:sz w:val="24"/>
          <w:szCs w:val="24"/>
          <w:lang w:val="ru-RU"/>
        </w:rPr>
        <w:t>теплоэнергия</w:t>
      </w:r>
      <w:proofErr w:type="spellEnd"/>
      <w:r w:rsidRPr="00D762E7">
        <w:rPr>
          <w:sz w:val="24"/>
          <w:szCs w:val="24"/>
          <w:lang w:val="ru-RU"/>
        </w:rPr>
        <w:t xml:space="preserve"> в горячей воде экономия 952,6 тыс. руб.;</w:t>
      </w:r>
    </w:p>
    <w:p w:rsidR="00657AF0" w:rsidRPr="00D762E7" w:rsidRDefault="00657AF0" w:rsidP="00657AF0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proofErr w:type="spellStart"/>
      <w:r w:rsidRPr="00D762E7">
        <w:rPr>
          <w:sz w:val="24"/>
          <w:szCs w:val="24"/>
          <w:lang w:val="ru-RU"/>
        </w:rPr>
        <w:t>теплоэнергия</w:t>
      </w:r>
      <w:proofErr w:type="spellEnd"/>
      <w:r w:rsidRPr="00D762E7">
        <w:rPr>
          <w:sz w:val="24"/>
          <w:szCs w:val="24"/>
          <w:lang w:val="ru-RU"/>
        </w:rPr>
        <w:t xml:space="preserve"> в паре экономия 1278,8 тыс. руб.;</w:t>
      </w:r>
    </w:p>
    <w:p w:rsidR="00657AF0" w:rsidRPr="00D762E7" w:rsidRDefault="00657AF0" w:rsidP="00657AF0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электроэнергия экономия 6904,1 тыс. руб.;</w:t>
      </w:r>
    </w:p>
    <w:p w:rsidR="00447CC4" w:rsidRPr="00D762E7" w:rsidRDefault="00657AF0" w:rsidP="00657AF0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proofErr w:type="gramStart"/>
      <w:r w:rsidRPr="00D762E7">
        <w:rPr>
          <w:sz w:val="24"/>
          <w:szCs w:val="24"/>
          <w:lang w:val="ru-RU"/>
        </w:rPr>
        <w:t>обессоленная</w:t>
      </w:r>
      <w:proofErr w:type="gramEnd"/>
      <w:r w:rsidRPr="00D762E7">
        <w:rPr>
          <w:sz w:val="24"/>
          <w:szCs w:val="24"/>
          <w:lang w:val="ru-RU"/>
        </w:rPr>
        <w:t xml:space="preserve"> </w:t>
      </w:r>
      <w:r w:rsidR="00447CC4" w:rsidRPr="00D762E7">
        <w:rPr>
          <w:sz w:val="24"/>
          <w:szCs w:val="24"/>
          <w:lang w:val="ru-RU"/>
        </w:rPr>
        <w:t>Анализ приложений 1-6 показал следующие результаты между плановой и фактической себестоимостей:</w:t>
      </w:r>
    </w:p>
    <w:p w:rsidR="00447CC4" w:rsidRPr="00D762E7" w:rsidRDefault="00447CC4" w:rsidP="00447CC4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вода экономия 13,8 тыс. руб.;</w:t>
      </w:r>
    </w:p>
    <w:p w:rsidR="00447CC4" w:rsidRPr="00D762E7" w:rsidRDefault="00447CC4" w:rsidP="00447CC4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доменное дутье для д. </w:t>
      </w:r>
      <w:proofErr w:type="spellStart"/>
      <w:r w:rsidRPr="00D762E7">
        <w:rPr>
          <w:sz w:val="24"/>
          <w:szCs w:val="24"/>
          <w:lang w:val="ru-RU"/>
        </w:rPr>
        <w:t>ц</w:t>
      </w:r>
      <w:proofErr w:type="spellEnd"/>
      <w:r w:rsidRPr="00D762E7">
        <w:rPr>
          <w:sz w:val="24"/>
          <w:szCs w:val="24"/>
          <w:lang w:val="ru-RU"/>
        </w:rPr>
        <w:t xml:space="preserve"> N 2 экономия 3520,6 тыс. руб.;</w:t>
      </w:r>
    </w:p>
    <w:p w:rsidR="00447CC4" w:rsidRPr="00D762E7" w:rsidRDefault="00447CC4" w:rsidP="00447CC4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сжатый воздух перерасход 950,0 тыс. руб.</w:t>
      </w:r>
    </w:p>
    <w:p w:rsidR="00447CC4" w:rsidRDefault="002447E0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Проведем анализ эффект</w:t>
      </w:r>
      <w:r w:rsidR="005D4A0F">
        <w:rPr>
          <w:sz w:val="24"/>
          <w:szCs w:val="24"/>
          <w:lang w:val="ru-RU"/>
        </w:rPr>
        <w:t>ивности инвестиционного проекта. Исходные данные указаны в таблице 4.1</w:t>
      </w:r>
    </w:p>
    <w:p w:rsidR="005D4A0F" w:rsidRDefault="005D4A0F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133"/>
        <w:gridCol w:w="1133"/>
        <w:gridCol w:w="1133"/>
        <w:gridCol w:w="1133"/>
        <w:gridCol w:w="1133"/>
        <w:gridCol w:w="1133"/>
        <w:gridCol w:w="1134"/>
      </w:tblGrid>
      <w:tr w:rsidR="001143D1" w:rsidRPr="001143D1" w:rsidTr="001143D1">
        <w:tc>
          <w:tcPr>
            <w:tcW w:w="1526" w:type="dxa"/>
          </w:tcPr>
          <w:p w:rsidR="001143D1" w:rsidRPr="001143D1" w:rsidRDefault="001143D1" w:rsidP="00FE583C">
            <w:pPr>
              <w:pStyle w:val="11"/>
              <w:widowControl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 w:rsidRPr="001143D1">
              <w:rPr>
                <w:sz w:val="22"/>
                <w:szCs w:val="22"/>
              </w:rPr>
              <w:t>Год (</w:t>
            </w:r>
            <w:r w:rsidRPr="001143D1">
              <w:rPr>
                <w:sz w:val="22"/>
                <w:szCs w:val="22"/>
                <w:lang w:val="en-US"/>
              </w:rPr>
              <w:t>t</w:t>
            </w:r>
            <w:r w:rsidRPr="001143D1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:rsidR="001143D1" w:rsidRPr="001143D1" w:rsidRDefault="001143D1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1143D1">
              <w:rPr>
                <w:rStyle w:val="SUBST"/>
                <w:b w:val="0"/>
                <w:i w:val="0"/>
                <w:szCs w:val="22"/>
              </w:rPr>
              <w:t>0</w:t>
            </w:r>
          </w:p>
        </w:tc>
        <w:tc>
          <w:tcPr>
            <w:tcW w:w="1133" w:type="dxa"/>
          </w:tcPr>
          <w:p w:rsidR="001143D1" w:rsidRPr="001143D1" w:rsidRDefault="001143D1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1143D1">
              <w:rPr>
                <w:rStyle w:val="SUBST"/>
                <w:b w:val="0"/>
                <w:i w:val="0"/>
                <w:szCs w:val="22"/>
              </w:rPr>
              <w:t>1</w:t>
            </w:r>
          </w:p>
        </w:tc>
        <w:tc>
          <w:tcPr>
            <w:tcW w:w="1133" w:type="dxa"/>
          </w:tcPr>
          <w:p w:rsidR="001143D1" w:rsidRPr="001143D1" w:rsidRDefault="001143D1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1143D1">
              <w:rPr>
                <w:rStyle w:val="SUBST"/>
                <w:b w:val="0"/>
                <w:i w:val="0"/>
                <w:szCs w:val="22"/>
              </w:rPr>
              <w:t>2</w:t>
            </w:r>
          </w:p>
        </w:tc>
        <w:tc>
          <w:tcPr>
            <w:tcW w:w="1133" w:type="dxa"/>
          </w:tcPr>
          <w:p w:rsidR="001143D1" w:rsidRPr="001143D1" w:rsidRDefault="001143D1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1143D1">
              <w:rPr>
                <w:rStyle w:val="SUBST"/>
                <w:b w:val="0"/>
                <w:i w:val="0"/>
                <w:szCs w:val="22"/>
              </w:rPr>
              <w:t>3</w:t>
            </w:r>
          </w:p>
        </w:tc>
        <w:tc>
          <w:tcPr>
            <w:tcW w:w="1133" w:type="dxa"/>
          </w:tcPr>
          <w:p w:rsidR="001143D1" w:rsidRPr="001143D1" w:rsidRDefault="001143D1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1143D1">
              <w:rPr>
                <w:rStyle w:val="SUBST"/>
                <w:b w:val="0"/>
                <w:i w:val="0"/>
                <w:szCs w:val="22"/>
              </w:rPr>
              <w:t>4</w:t>
            </w:r>
          </w:p>
        </w:tc>
        <w:tc>
          <w:tcPr>
            <w:tcW w:w="1133" w:type="dxa"/>
          </w:tcPr>
          <w:p w:rsidR="001143D1" w:rsidRPr="001143D1" w:rsidRDefault="001143D1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1143D1">
              <w:rPr>
                <w:rStyle w:val="SUBST"/>
                <w:b w:val="0"/>
                <w:i w:val="0"/>
                <w:szCs w:val="22"/>
              </w:rPr>
              <w:t>5</w:t>
            </w:r>
          </w:p>
        </w:tc>
        <w:tc>
          <w:tcPr>
            <w:tcW w:w="1134" w:type="dxa"/>
          </w:tcPr>
          <w:p w:rsidR="001143D1" w:rsidRPr="001143D1" w:rsidRDefault="001143D1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r w:rsidRPr="001143D1">
              <w:rPr>
                <w:rStyle w:val="SUBST"/>
                <w:b w:val="0"/>
                <w:i w:val="0"/>
                <w:szCs w:val="22"/>
              </w:rPr>
              <w:t>6</w:t>
            </w:r>
          </w:p>
        </w:tc>
      </w:tr>
      <w:tr w:rsidR="00E261EB" w:rsidRPr="001143D1" w:rsidTr="00E261EB">
        <w:tc>
          <w:tcPr>
            <w:tcW w:w="1526" w:type="dxa"/>
          </w:tcPr>
          <w:p w:rsidR="00E261EB" w:rsidRPr="001143D1" w:rsidRDefault="00E261EB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1143D1">
              <w:rPr>
                <w:rStyle w:val="SUBST"/>
                <w:b w:val="0"/>
                <w:i w:val="0"/>
                <w:szCs w:val="22"/>
              </w:rPr>
              <w:t>Инвестиции</w:t>
            </w:r>
            <w:proofErr w:type="spellEnd"/>
            <w:r w:rsidRPr="001143D1">
              <w:rPr>
                <w:rStyle w:val="SUBST"/>
                <w:b w:val="0"/>
                <w:i w:val="0"/>
                <w:szCs w:val="22"/>
              </w:rPr>
              <w:t xml:space="preserve">, </w:t>
            </w:r>
            <w:proofErr w:type="spellStart"/>
            <w:r w:rsidRPr="001143D1">
              <w:rPr>
                <w:rStyle w:val="SUBST"/>
                <w:b w:val="0"/>
                <w:i w:val="0"/>
                <w:szCs w:val="22"/>
              </w:rPr>
              <w:t>тыс</w:t>
            </w:r>
            <w:proofErr w:type="spellEnd"/>
            <w:r w:rsidRPr="001143D1">
              <w:rPr>
                <w:rStyle w:val="SUBST"/>
                <w:b w:val="0"/>
                <w:i w:val="0"/>
                <w:szCs w:val="22"/>
              </w:rPr>
              <w:t xml:space="preserve">. </w:t>
            </w:r>
            <w:proofErr w:type="spellStart"/>
            <w:proofErr w:type="gramStart"/>
            <w:r w:rsidRPr="001143D1">
              <w:rPr>
                <w:rStyle w:val="SUBST"/>
                <w:b w:val="0"/>
                <w:i w:val="0"/>
                <w:szCs w:val="22"/>
              </w:rPr>
              <w:t>руб</w:t>
            </w:r>
            <w:proofErr w:type="spellEnd"/>
            <w:proofErr w:type="gramEnd"/>
            <w:r w:rsidRPr="001143D1">
              <w:rPr>
                <w:rStyle w:val="SUBST"/>
                <w:b w:val="0"/>
                <w:i w:val="0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7199781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261EB" w:rsidRPr="001143D1" w:rsidTr="00E261EB">
        <w:tc>
          <w:tcPr>
            <w:tcW w:w="1526" w:type="dxa"/>
          </w:tcPr>
          <w:p w:rsidR="00E261EB" w:rsidRPr="001143D1" w:rsidRDefault="00E261EB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1143D1">
              <w:rPr>
                <w:rStyle w:val="SUBST"/>
                <w:b w:val="0"/>
                <w:i w:val="0"/>
                <w:szCs w:val="22"/>
              </w:rPr>
              <w:t>Чистая</w:t>
            </w:r>
            <w:proofErr w:type="spellEnd"/>
            <w:r w:rsidRPr="001143D1">
              <w:rPr>
                <w:rStyle w:val="SUBST"/>
                <w:b w:val="0"/>
                <w:i w:val="0"/>
                <w:szCs w:val="22"/>
              </w:rPr>
              <w:t xml:space="preserve"> </w:t>
            </w:r>
            <w:proofErr w:type="spellStart"/>
            <w:r w:rsidRPr="001143D1">
              <w:rPr>
                <w:rStyle w:val="SUBST"/>
                <w:b w:val="0"/>
                <w:i w:val="0"/>
                <w:szCs w:val="22"/>
              </w:rPr>
              <w:t>прибыль</w:t>
            </w:r>
            <w:proofErr w:type="spellEnd"/>
            <w:r w:rsidRPr="001143D1">
              <w:rPr>
                <w:rStyle w:val="SUBST"/>
                <w:b w:val="0"/>
                <w:i w:val="0"/>
                <w:szCs w:val="22"/>
              </w:rPr>
              <w:t xml:space="preserve">, </w:t>
            </w:r>
            <w:proofErr w:type="spellStart"/>
            <w:r w:rsidRPr="001143D1">
              <w:rPr>
                <w:rStyle w:val="SUBST"/>
                <w:b w:val="0"/>
                <w:i w:val="0"/>
                <w:szCs w:val="22"/>
              </w:rPr>
              <w:t>тыс</w:t>
            </w:r>
            <w:proofErr w:type="spellEnd"/>
            <w:r w:rsidRPr="001143D1">
              <w:rPr>
                <w:rStyle w:val="SUBST"/>
                <w:b w:val="0"/>
                <w:i w:val="0"/>
                <w:szCs w:val="22"/>
              </w:rPr>
              <w:t xml:space="preserve">. </w:t>
            </w:r>
            <w:proofErr w:type="spellStart"/>
            <w:proofErr w:type="gramStart"/>
            <w:r w:rsidRPr="001143D1">
              <w:rPr>
                <w:rStyle w:val="SUBST"/>
                <w:b w:val="0"/>
                <w:i w:val="0"/>
                <w:szCs w:val="22"/>
              </w:rPr>
              <w:t>руб</w:t>
            </w:r>
            <w:proofErr w:type="spellEnd"/>
            <w:proofErr w:type="gramEnd"/>
            <w:r w:rsidRPr="001143D1">
              <w:rPr>
                <w:rStyle w:val="SUBST"/>
                <w:b w:val="0"/>
                <w:i w:val="0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-479228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843272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615940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3497196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5586792</w:t>
            </w:r>
          </w:p>
        </w:tc>
        <w:tc>
          <w:tcPr>
            <w:tcW w:w="1134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7798196</w:t>
            </w:r>
          </w:p>
        </w:tc>
      </w:tr>
      <w:tr w:rsidR="00E261EB" w:rsidRPr="001143D1" w:rsidTr="00E261EB">
        <w:tc>
          <w:tcPr>
            <w:tcW w:w="1526" w:type="dxa"/>
          </w:tcPr>
          <w:p w:rsidR="00E261EB" w:rsidRPr="001143D1" w:rsidRDefault="00E261EB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1143D1">
              <w:rPr>
                <w:rStyle w:val="SUBST"/>
                <w:b w:val="0"/>
                <w:i w:val="0"/>
                <w:szCs w:val="22"/>
              </w:rPr>
              <w:lastRenderedPageBreak/>
              <w:t>Амортизация</w:t>
            </w:r>
            <w:proofErr w:type="spellEnd"/>
            <w:r w:rsidRPr="001143D1">
              <w:rPr>
                <w:rStyle w:val="SUBST"/>
                <w:b w:val="0"/>
                <w:i w:val="0"/>
                <w:szCs w:val="22"/>
              </w:rPr>
              <w:t xml:space="preserve">, </w:t>
            </w:r>
            <w:proofErr w:type="spellStart"/>
            <w:r w:rsidRPr="001143D1">
              <w:rPr>
                <w:rStyle w:val="SUBST"/>
                <w:b w:val="0"/>
                <w:i w:val="0"/>
                <w:szCs w:val="22"/>
              </w:rPr>
              <w:t>тыс</w:t>
            </w:r>
            <w:proofErr w:type="spellEnd"/>
            <w:r w:rsidRPr="001143D1">
              <w:rPr>
                <w:rStyle w:val="SUBST"/>
                <w:b w:val="0"/>
                <w:i w:val="0"/>
                <w:szCs w:val="22"/>
              </w:rPr>
              <w:t xml:space="preserve">. </w:t>
            </w:r>
            <w:proofErr w:type="spellStart"/>
            <w:proofErr w:type="gramStart"/>
            <w:r w:rsidRPr="001143D1">
              <w:rPr>
                <w:rStyle w:val="SUBST"/>
                <w:b w:val="0"/>
                <w:i w:val="0"/>
                <w:szCs w:val="22"/>
              </w:rPr>
              <w:t>руб</w:t>
            </w:r>
            <w:proofErr w:type="spellEnd"/>
            <w:proofErr w:type="gramEnd"/>
            <w:r w:rsidRPr="001143D1">
              <w:rPr>
                <w:rStyle w:val="SUBST"/>
                <w:b w:val="0"/>
                <w:i w:val="0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195960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785864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887892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858084</w:t>
            </w:r>
          </w:p>
        </w:tc>
        <w:tc>
          <w:tcPr>
            <w:tcW w:w="1134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762036</w:t>
            </w:r>
          </w:p>
        </w:tc>
      </w:tr>
      <w:tr w:rsidR="00E261EB" w:rsidRPr="001143D1" w:rsidTr="00E261EB">
        <w:tc>
          <w:tcPr>
            <w:tcW w:w="1526" w:type="dxa"/>
          </w:tcPr>
          <w:p w:rsidR="00E261EB" w:rsidRPr="001143D1" w:rsidRDefault="00E261EB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1143D1">
              <w:rPr>
                <w:rStyle w:val="SUBST"/>
                <w:b w:val="0"/>
                <w:i w:val="0"/>
                <w:szCs w:val="22"/>
                <w:lang w:val="ru-RU"/>
              </w:rPr>
              <w:t>Денежные поступления за период, тыс. руб.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-7199781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-479228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1039232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1401804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4385088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6444876</w:t>
            </w:r>
          </w:p>
        </w:tc>
        <w:tc>
          <w:tcPr>
            <w:tcW w:w="1134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8560232</w:t>
            </w:r>
          </w:p>
        </w:tc>
      </w:tr>
      <w:tr w:rsidR="00E261EB" w:rsidRPr="001143D1" w:rsidTr="00E261EB">
        <w:tc>
          <w:tcPr>
            <w:tcW w:w="1526" w:type="dxa"/>
          </w:tcPr>
          <w:p w:rsidR="00E261EB" w:rsidRPr="001143D1" w:rsidRDefault="00E261EB" w:rsidP="00FE583C">
            <w:pPr>
              <w:widowControl w:val="0"/>
              <w:spacing w:line="360" w:lineRule="auto"/>
              <w:jc w:val="both"/>
              <w:rPr>
                <w:rStyle w:val="SUBST"/>
                <w:b w:val="0"/>
                <w:i w:val="0"/>
                <w:szCs w:val="22"/>
                <w:lang w:val="ru-RU"/>
              </w:rPr>
            </w:pPr>
            <w:r w:rsidRPr="001143D1">
              <w:rPr>
                <w:rStyle w:val="SUBST"/>
                <w:b w:val="0"/>
                <w:i w:val="0"/>
                <w:szCs w:val="22"/>
                <w:lang w:val="ru-RU"/>
              </w:rPr>
              <w:t>То же, с нарастающим итогом, тыс. руб.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-7199781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-7679009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-6639777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-5237973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-852885</w:t>
            </w:r>
          </w:p>
        </w:tc>
        <w:tc>
          <w:tcPr>
            <w:tcW w:w="1133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5591991</w:t>
            </w:r>
          </w:p>
        </w:tc>
        <w:tc>
          <w:tcPr>
            <w:tcW w:w="1134" w:type="dxa"/>
            <w:vAlign w:val="center"/>
          </w:tcPr>
          <w:p w:rsidR="00E261EB" w:rsidRPr="00E261EB" w:rsidRDefault="00E261EB" w:rsidP="00E261EB">
            <w:pPr>
              <w:jc w:val="right"/>
              <w:rPr>
                <w:color w:val="000000"/>
                <w:sz w:val="22"/>
                <w:szCs w:val="22"/>
              </w:rPr>
            </w:pPr>
            <w:r w:rsidRPr="00E261EB">
              <w:rPr>
                <w:color w:val="000000"/>
                <w:sz w:val="22"/>
                <w:szCs w:val="22"/>
              </w:rPr>
              <w:t>14152223</w:t>
            </w:r>
          </w:p>
        </w:tc>
      </w:tr>
    </w:tbl>
    <w:p w:rsidR="005D4A0F" w:rsidRDefault="005D4A0F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</w:p>
    <w:p w:rsidR="00194696" w:rsidRDefault="00194696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4.1 Исходные данные по проекту</w:t>
      </w:r>
    </w:p>
    <w:p w:rsidR="00194696" w:rsidRDefault="00194696" w:rsidP="00447CC4">
      <w:pPr>
        <w:suppressAutoHyphens/>
        <w:spacing w:line="360" w:lineRule="auto"/>
        <w:ind w:right="423" w:firstLine="709"/>
        <w:jc w:val="both"/>
        <w:rPr>
          <w:sz w:val="24"/>
          <w:szCs w:val="24"/>
          <w:lang w:val="ru-RU"/>
        </w:rPr>
      </w:pPr>
    </w:p>
    <w:p w:rsidR="00447CC4" w:rsidRDefault="006818AB" w:rsidP="006818AB">
      <w:pPr>
        <w:spacing w:line="360" w:lineRule="auto"/>
        <w:ind w:firstLine="709"/>
        <w:rPr>
          <w:rStyle w:val="SUBST"/>
          <w:sz w:val="24"/>
          <w:szCs w:val="24"/>
        </w:rPr>
      </w:pPr>
      <w:r w:rsidRPr="0083181A">
        <w:rPr>
          <w:rStyle w:val="SUBST"/>
          <w:sz w:val="24"/>
          <w:szCs w:val="24"/>
          <w:lang w:val="ru-RU"/>
        </w:rPr>
        <w:t>Метод чистого дисконтированного дохода</w:t>
      </w:r>
      <w:r>
        <w:rPr>
          <w:rStyle w:val="SUBST"/>
          <w:sz w:val="24"/>
          <w:szCs w:val="24"/>
          <w:lang w:val="ru-RU"/>
        </w:rPr>
        <w:t>.</w:t>
      </w:r>
    </w:p>
    <w:p w:rsidR="006818AB" w:rsidRPr="006818AB" w:rsidRDefault="006818AB" w:rsidP="006818AB">
      <w:pPr>
        <w:spacing w:line="360" w:lineRule="auto"/>
        <w:ind w:firstLine="709"/>
        <w:rPr>
          <w:rStyle w:val="SUBST"/>
          <w:b w:val="0"/>
          <w:i w:val="0"/>
          <w:sz w:val="24"/>
          <w:szCs w:val="24"/>
          <w:lang w:val="ru-RU"/>
        </w:rPr>
      </w:pPr>
      <w:r w:rsidRPr="006818AB">
        <w:rPr>
          <w:rStyle w:val="SUBST"/>
          <w:b w:val="0"/>
          <w:i w:val="0"/>
          <w:sz w:val="24"/>
          <w:szCs w:val="24"/>
          <w:lang w:val="ru-RU"/>
        </w:rPr>
        <w:t>Коэффициент дисконтирования</w:t>
      </w:r>
      <w:r>
        <w:rPr>
          <w:rStyle w:val="SUBST"/>
          <w:b w:val="0"/>
          <w:i w:val="0"/>
          <w:sz w:val="24"/>
          <w:szCs w:val="24"/>
          <w:lang w:val="ru-RU"/>
        </w:rPr>
        <w:t xml:space="preserve"> (</w:t>
      </w:r>
      <w:proofErr w:type="spellStart"/>
      <w:r>
        <w:rPr>
          <w:rStyle w:val="SUBST"/>
          <w:b w:val="0"/>
          <w:i w:val="0"/>
          <w:sz w:val="24"/>
          <w:szCs w:val="24"/>
        </w:rPr>
        <w:t>i</w:t>
      </w:r>
      <w:proofErr w:type="spellEnd"/>
      <w:r>
        <w:rPr>
          <w:rStyle w:val="SUBST"/>
          <w:b w:val="0"/>
          <w:i w:val="0"/>
          <w:sz w:val="24"/>
          <w:szCs w:val="24"/>
          <w:lang w:val="ru-RU"/>
        </w:rPr>
        <w:t>)</w:t>
      </w:r>
      <w:r w:rsidRPr="006818AB">
        <w:rPr>
          <w:rStyle w:val="SUBST"/>
          <w:b w:val="0"/>
          <w:i w:val="0"/>
          <w:sz w:val="24"/>
          <w:szCs w:val="24"/>
          <w:lang w:val="ru-RU"/>
        </w:rPr>
        <w:t xml:space="preserve"> примем равным 17%</w:t>
      </w:r>
    </w:p>
    <w:p w:rsidR="00194696" w:rsidRDefault="00194696" w:rsidP="006818AB">
      <w:pPr>
        <w:spacing w:line="360" w:lineRule="auto"/>
        <w:rPr>
          <w:sz w:val="24"/>
          <w:szCs w:val="24"/>
          <w:lang w:val="ru-RU"/>
        </w:rPr>
      </w:pPr>
    </w:p>
    <w:p w:rsidR="00447CC4" w:rsidRPr="00F27836" w:rsidRDefault="006818AB" w:rsidP="006818AB">
      <w:pPr>
        <w:spacing w:line="360" w:lineRule="auto"/>
        <w:rPr>
          <w:b/>
          <w:lang w:val="ru-RU"/>
        </w:rPr>
      </w:pPr>
      <m:oMathPara>
        <m:oMath>
          <m:r>
            <m:rPr>
              <m:sty m:val="bi"/>
            </m:rPr>
            <w:rPr>
              <w:rStyle w:val="SUBST"/>
              <w:rFonts w:ascii="Cambria Math" w:hAnsi="Cambria Math"/>
              <w:sz w:val="20"/>
            </w:rPr>
            <m:t>NPV=</m:t>
          </m:r>
          <m:f>
            <m:fPr>
              <m:ctrlPr>
                <w:rPr>
                  <w:rStyle w:val="SUBST"/>
                  <w:rFonts w:ascii="Cambria Math" w:hAnsi="Cambria Math"/>
                  <w:b w:val="0"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Style w:val="SUBST"/>
                  <w:rFonts w:ascii="Cambria Math" w:hAnsi="Cambria Math"/>
                  <w:sz w:val="2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479228</m:t>
              </m:r>
            </m:num>
            <m:den>
              <m:sSup>
                <m:sSup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1+0,17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SUBST"/>
                      <w:rFonts w:ascii="Cambria Math" w:hAnsi="Cambria Math"/>
                      <w:sz w:val="20"/>
                    </w:rPr>
                    <m:t>1</m:t>
                  </m:r>
                </m:sup>
              </m:sSup>
            </m:den>
          </m:f>
          <m:r>
            <m:rPr>
              <m:sty m:val="bi"/>
            </m:rPr>
            <w:rPr>
              <w:rStyle w:val="SUBST"/>
              <w:rFonts w:ascii="Cambria Math" w:hAnsi="Cambria Math"/>
              <w:sz w:val="20"/>
            </w:rPr>
            <m:t>+</m:t>
          </m:r>
          <m:f>
            <m:fPr>
              <m:ctrlPr>
                <w:rPr>
                  <w:rStyle w:val="SUBST"/>
                  <w:rFonts w:ascii="Cambria Math" w:hAnsi="Cambria Math"/>
                  <w:b w:val="0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1039232</m:t>
              </m:r>
            </m:num>
            <m:den>
              <m:sSup>
                <m:sSup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1+0,17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SUBST"/>
                      <w:rFonts w:ascii="Cambria Math" w:hAnsi="Cambria Math"/>
                      <w:sz w:val="2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Style w:val="SUBST"/>
              <w:rFonts w:ascii="Cambria Math" w:hAnsi="Cambria Math"/>
              <w:sz w:val="20"/>
            </w:rPr>
            <m:t>+</m:t>
          </m:r>
          <m:f>
            <m:fPr>
              <m:ctrlPr>
                <w:rPr>
                  <w:rStyle w:val="SUBST"/>
                  <w:rFonts w:ascii="Cambria Math" w:hAnsi="Cambria Math"/>
                  <w:b w:val="0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1401804</m:t>
              </m:r>
            </m:num>
            <m:den>
              <m:sSup>
                <m:sSup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1+0,17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SUBST"/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Style w:val="SUBST"/>
              <w:rFonts w:ascii="Cambria Math" w:hAnsi="Cambria Math"/>
              <w:sz w:val="20"/>
            </w:rPr>
            <m:t>+</m:t>
          </m:r>
          <m:f>
            <m:fPr>
              <m:ctrlPr>
                <w:rPr>
                  <w:rStyle w:val="SUBST"/>
                  <w:rFonts w:ascii="Cambria Math" w:hAnsi="Cambria Math"/>
                  <w:b w:val="0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4385088</m:t>
              </m:r>
            </m:num>
            <m:den>
              <m:sSup>
                <m:sSup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1+0,17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SUBST"/>
                      <w:rFonts w:ascii="Cambria Math" w:hAnsi="Cambria Math"/>
                      <w:sz w:val="20"/>
                    </w:rPr>
                    <m:t>4</m:t>
                  </m:r>
                </m:sup>
              </m:sSup>
            </m:den>
          </m:f>
          <m:r>
            <m:rPr>
              <m:sty m:val="bi"/>
            </m:rPr>
            <w:rPr>
              <w:rStyle w:val="SUBST"/>
              <w:rFonts w:ascii="Cambria Math" w:hAnsi="Cambria Math"/>
              <w:sz w:val="20"/>
            </w:rPr>
            <m:t>+</m:t>
          </m:r>
          <m:f>
            <m:fPr>
              <m:ctrlPr>
                <w:rPr>
                  <w:rStyle w:val="SUBST"/>
                  <w:rFonts w:ascii="Cambria Math" w:hAnsi="Cambria Math"/>
                  <w:b w:val="0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6444876</m:t>
              </m:r>
            </m:num>
            <m:den>
              <m:sSup>
                <m:sSup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1+0,17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SUBST"/>
                      <w:rFonts w:ascii="Cambria Math" w:hAnsi="Cambria Math"/>
                      <w:sz w:val="20"/>
                    </w:rPr>
                    <m:t>5</m:t>
                  </m:r>
                </m:sup>
              </m:sSup>
            </m:den>
          </m:f>
          <m:r>
            <m:rPr>
              <m:sty m:val="bi"/>
            </m:rPr>
            <w:rPr>
              <w:rStyle w:val="SUBST"/>
              <w:rFonts w:ascii="Cambria Math" w:hAnsi="Cambria Math"/>
              <w:sz w:val="20"/>
            </w:rPr>
            <m:t>+</m:t>
          </m:r>
          <m:f>
            <m:fPr>
              <m:ctrlPr>
                <w:rPr>
                  <w:rStyle w:val="SUBST"/>
                  <w:rFonts w:ascii="Cambria Math" w:hAnsi="Cambria Math"/>
                  <w:b w:val="0"/>
                  <w:sz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8560232</m:t>
              </m:r>
            </m:num>
            <m:den>
              <m:sSup>
                <m:sSup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1+0,17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SUBST"/>
                      <w:rFonts w:ascii="Cambria Math" w:hAnsi="Cambria Math"/>
                      <w:sz w:val="20"/>
                    </w:rPr>
                    <m:t>5</m:t>
                  </m:r>
                </m:sup>
              </m:sSup>
            </m:den>
          </m:f>
          <m:r>
            <m:rPr>
              <m:sty m:val="bi"/>
            </m:rPr>
            <w:rPr>
              <w:rStyle w:val="SUBST"/>
              <w:rFonts w:ascii="Cambria Math" w:hAnsi="Cambria Math"/>
              <w:sz w:val="20"/>
            </w:rPr>
            <m:t>-71199781=-409597+759173+875245+2340102+2939580+3337109-7199781=2641831</m:t>
          </m:r>
        </m:oMath>
      </m:oMathPara>
    </w:p>
    <w:p w:rsidR="00447CC4" w:rsidRPr="00D762E7" w:rsidRDefault="00447CC4" w:rsidP="006818AB">
      <w:pPr>
        <w:spacing w:line="360" w:lineRule="auto"/>
        <w:rPr>
          <w:sz w:val="24"/>
          <w:szCs w:val="24"/>
          <w:lang w:val="ru-RU"/>
        </w:rPr>
      </w:pPr>
    </w:p>
    <w:p w:rsidR="00447CC4" w:rsidRDefault="00F27836" w:rsidP="00F27836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 как </w:t>
      </w:r>
      <w:r w:rsidRPr="0083181A">
        <w:rPr>
          <w:sz w:val="24"/>
          <w:szCs w:val="24"/>
        </w:rPr>
        <w:t>NPV</w:t>
      </w:r>
      <w:r w:rsidRPr="00F27836">
        <w:rPr>
          <w:sz w:val="24"/>
          <w:szCs w:val="24"/>
          <w:lang w:val="ru-RU"/>
        </w:rPr>
        <w:t>&gt;0 –проект эффективен, его следует принять</w:t>
      </w:r>
      <w:r>
        <w:rPr>
          <w:sz w:val="24"/>
          <w:szCs w:val="24"/>
          <w:lang w:val="ru-RU"/>
        </w:rPr>
        <w:t>.</w:t>
      </w:r>
    </w:p>
    <w:p w:rsidR="00F27836" w:rsidRDefault="00F27836" w:rsidP="00F27836">
      <w:pPr>
        <w:spacing w:line="360" w:lineRule="auto"/>
        <w:ind w:firstLine="709"/>
        <w:rPr>
          <w:sz w:val="24"/>
          <w:szCs w:val="24"/>
          <w:lang w:val="ru-RU"/>
        </w:rPr>
      </w:pPr>
    </w:p>
    <w:p w:rsidR="00F27836" w:rsidRDefault="00F27836" w:rsidP="00F27836">
      <w:pPr>
        <w:spacing w:line="360" w:lineRule="auto"/>
        <w:ind w:firstLine="709"/>
        <w:rPr>
          <w:b/>
          <w:i/>
          <w:sz w:val="24"/>
          <w:szCs w:val="24"/>
          <w:lang w:val="ru-RU"/>
        </w:rPr>
      </w:pPr>
      <w:r w:rsidRPr="0083181A">
        <w:rPr>
          <w:b/>
          <w:i/>
          <w:sz w:val="24"/>
          <w:szCs w:val="24"/>
          <w:lang w:val="ru-RU"/>
        </w:rPr>
        <w:t>Метод расчета индекса рентабельности инвестиций</w:t>
      </w:r>
      <w:r>
        <w:rPr>
          <w:b/>
          <w:i/>
          <w:sz w:val="24"/>
          <w:szCs w:val="24"/>
          <w:lang w:val="ru-RU"/>
        </w:rPr>
        <w:t>.</w:t>
      </w:r>
    </w:p>
    <w:p w:rsidR="00F27836" w:rsidRDefault="00F27836" w:rsidP="00F27836">
      <w:pPr>
        <w:spacing w:line="360" w:lineRule="auto"/>
        <w:ind w:firstLine="709"/>
        <w:rPr>
          <w:b/>
          <w:i/>
          <w:sz w:val="24"/>
          <w:szCs w:val="24"/>
          <w:lang w:val="ru-RU"/>
        </w:rPr>
      </w:pPr>
    </w:p>
    <w:p w:rsidR="00F27836" w:rsidRPr="00F27836" w:rsidRDefault="00F27836" w:rsidP="00F27836">
      <w:pPr>
        <w:spacing w:line="360" w:lineRule="auto"/>
        <w:ind w:firstLine="709"/>
        <w:rPr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PI=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f>
                <m:f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SUBST"/>
                      <w:rFonts w:ascii="Cambria Math" w:hAnsi="Cambria Math"/>
                      <w:sz w:val="2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479228</m:t>
                  </m:r>
                </m:num>
                <m:den>
                  <m:sSup>
                    <m:sSup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SUBST"/>
                              <w:rFonts w:ascii="Cambria Math" w:hAnsi="Cambria Math"/>
                              <w:b w:val="0"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SUBST"/>
                              <w:rFonts w:ascii="Cambria Math" w:hAnsi="Cambria Math"/>
                              <w:sz w:val="20"/>
                            </w:rPr>
                            <m:t>1+0,17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Style w:val="SUBST"/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1039232</m:t>
                  </m:r>
                </m:num>
                <m:den>
                  <m:sSup>
                    <m:sSup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SUBST"/>
                              <w:rFonts w:ascii="Cambria Math" w:hAnsi="Cambria Math"/>
                              <w:b w:val="0"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SUBST"/>
                              <w:rFonts w:ascii="Cambria Math" w:hAnsi="Cambria Math"/>
                              <w:sz w:val="20"/>
                            </w:rPr>
                            <m:t>1+0,17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Style w:val="SUBST"/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1401804</m:t>
                  </m:r>
                </m:num>
                <m:den>
                  <m:sSup>
                    <m:sSup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SUBST"/>
                              <w:rFonts w:ascii="Cambria Math" w:hAnsi="Cambria Math"/>
                              <w:b w:val="0"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SUBST"/>
                              <w:rFonts w:ascii="Cambria Math" w:hAnsi="Cambria Math"/>
                              <w:sz w:val="20"/>
                            </w:rPr>
                            <m:t>1+0,17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Style w:val="SUBST"/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4385088</m:t>
                  </m:r>
                </m:num>
                <m:den>
                  <m:sSup>
                    <m:sSup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SUBST"/>
                              <w:rFonts w:ascii="Cambria Math" w:hAnsi="Cambria Math"/>
                              <w:b w:val="0"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SUBST"/>
                              <w:rFonts w:ascii="Cambria Math" w:hAnsi="Cambria Math"/>
                              <w:sz w:val="20"/>
                            </w:rPr>
                            <m:t>1+0,17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Style w:val="SUBST"/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6444876</m:t>
                  </m:r>
                </m:num>
                <m:den>
                  <m:sSup>
                    <m:sSup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SUBST"/>
                              <w:rFonts w:ascii="Cambria Math" w:hAnsi="Cambria Math"/>
                              <w:b w:val="0"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SUBST"/>
                              <w:rFonts w:ascii="Cambria Math" w:hAnsi="Cambria Math"/>
                              <w:sz w:val="20"/>
                            </w:rPr>
                            <m:t>1+0,17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5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Style w:val="SUBST"/>
                  <w:rFonts w:ascii="Cambria Math" w:hAnsi="Cambria Math"/>
                  <w:sz w:val="20"/>
                </w:rPr>
                <m:t>+</m:t>
              </m:r>
              <m:f>
                <m:fPr>
                  <m:ctrlPr>
                    <w:rPr>
                      <w:rStyle w:val="SUBST"/>
                      <w:rFonts w:ascii="Cambria Math" w:hAnsi="Cambria Math"/>
                      <w:b w:val="0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8560232</m:t>
                  </m:r>
                </m:num>
                <m:den>
                  <m:sSup>
                    <m:sSupPr>
                      <m:ctrlPr>
                        <w:rPr>
                          <w:rStyle w:val="SUBST"/>
                          <w:rFonts w:ascii="Cambria Math" w:hAnsi="Cambria Math"/>
                          <w:b w:val="0"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Style w:val="SUBST"/>
                              <w:rFonts w:ascii="Cambria Math" w:hAnsi="Cambria Math"/>
                              <w:b w:val="0"/>
                              <w:sz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SUBST"/>
                              <w:rFonts w:ascii="Cambria Math" w:hAnsi="Cambria Math"/>
                              <w:sz w:val="20"/>
                            </w:rPr>
                            <m:t>1+0,17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Style w:val="SUBST"/>
                          <w:rFonts w:ascii="Cambria Math" w:hAnsi="Cambria Math"/>
                          <w:sz w:val="20"/>
                        </w:rPr>
                        <m:t>5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7199781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9841612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7199781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=1,37</m:t>
          </m:r>
        </m:oMath>
      </m:oMathPara>
    </w:p>
    <w:p w:rsidR="00447CC4" w:rsidRPr="00D762E7" w:rsidRDefault="00447CC4" w:rsidP="006818AB">
      <w:pPr>
        <w:spacing w:line="360" w:lineRule="auto"/>
        <w:rPr>
          <w:sz w:val="24"/>
          <w:szCs w:val="24"/>
          <w:lang w:val="ru-RU"/>
        </w:rPr>
      </w:pPr>
    </w:p>
    <w:p w:rsidR="00447CC4" w:rsidRDefault="00F27836" w:rsidP="00F27836">
      <w:pPr>
        <w:spacing w:line="360" w:lineRule="auto"/>
        <w:ind w:firstLine="709"/>
        <w:rPr>
          <w:sz w:val="24"/>
          <w:szCs w:val="24"/>
          <w:lang w:val="ru-RU"/>
        </w:rPr>
      </w:pPr>
      <w:r w:rsidRPr="00FC15CC">
        <w:rPr>
          <w:sz w:val="24"/>
          <w:szCs w:val="24"/>
          <w:lang w:val="ru-RU"/>
        </w:rPr>
        <w:t>PI&gt;1 –  проект эффективен, его следует принять</w:t>
      </w:r>
      <w:r w:rsidR="008A1D6B">
        <w:rPr>
          <w:sz w:val="24"/>
          <w:szCs w:val="24"/>
          <w:lang w:val="ru-RU"/>
        </w:rPr>
        <w:t>.</w:t>
      </w:r>
    </w:p>
    <w:p w:rsidR="00F27836" w:rsidRDefault="00F27836" w:rsidP="00F27836">
      <w:pPr>
        <w:spacing w:line="360" w:lineRule="auto"/>
        <w:ind w:firstLine="709"/>
        <w:rPr>
          <w:sz w:val="24"/>
          <w:szCs w:val="24"/>
          <w:lang w:val="ru-RU"/>
        </w:rPr>
      </w:pPr>
    </w:p>
    <w:p w:rsidR="00F27836" w:rsidRPr="00D762E7" w:rsidRDefault="00F27836" w:rsidP="00F27836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Метод расчета нормы рентабельности инвестиций (внутренняя норма доходности).</w:t>
      </w:r>
    </w:p>
    <w:p w:rsidR="00F75510" w:rsidRPr="008A1D6B" w:rsidRDefault="008A1D6B" w:rsidP="008A1D6B">
      <w:pPr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Путем итераций при использовании программы </w:t>
      </w:r>
      <w:proofErr w:type="spellStart"/>
      <w:r w:rsidRPr="008A1D6B">
        <w:rPr>
          <w:sz w:val="24"/>
          <w:szCs w:val="24"/>
          <w:lang w:val="ru-RU"/>
        </w:rPr>
        <w:t>Microsoft</w:t>
      </w:r>
      <w:proofErr w:type="spellEnd"/>
      <w:r w:rsidRPr="008A1D6B">
        <w:rPr>
          <w:sz w:val="24"/>
          <w:szCs w:val="24"/>
          <w:lang w:val="ru-RU"/>
        </w:rPr>
        <w:t xml:space="preserve"> </w:t>
      </w:r>
      <w:proofErr w:type="spellStart"/>
      <w:r w:rsidRPr="008A1D6B">
        <w:rPr>
          <w:sz w:val="24"/>
          <w:szCs w:val="24"/>
          <w:lang w:val="ru-RU"/>
        </w:rPr>
        <w:t>Excel</w:t>
      </w:r>
      <w:proofErr w:type="spellEnd"/>
      <w:r>
        <w:rPr>
          <w:sz w:val="24"/>
          <w:szCs w:val="24"/>
          <w:lang w:val="ru-RU"/>
        </w:rPr>
        <w:t xml:space="preserve"> выявлено, что </w:t>
      </w:r>
      <m:oMath>
        <m:r>
          <m:rPr>
            <m:sty m:val="bi"/>
          </m:rPr>
          <w:rPr>
            <w:rStyle w:val="SUBST"/>
            <w:rFonts w:ascii="Cambria Math" w:hAnsi="Cambria Math"/>
            <w:sz w:val="20"/>
          </w:rPr>
          <m:t>IRR</m:t>
        </m:r>
        <m:r>
          <m:rPr>
            <m:sty m:val="bi"/>
          </m:rPr>
          <w:rPr>
            <w:rStyle w:val="SUBST"/>
            <w:rFonts w:ascii="Cambria Math" w:hAnsi="Cambria Math"/>
            <w:sz w:val="20"/>
            <w:lang w:val="ru-RU"/>
          </w:rPr>
          <m:t>=24,8</m:t>
        </m:r>
      </m:oMath>
      <w:r w:rsidRPr="008A1D6B">
        <w:rPr>
          <w:rStyle w:val="SUBST"/>
          <w:b w:val="0"/>
          <w:i w:val="0"/>
          <w:sz w:val="24"/>
          <w:szCs w:val="24"/>
          <w:lang w:val="ru-RU"/>
        </w:rPr>
        <w:t xml:space="preserve">. Исходя из </w:t>
      </w:r>
      <w:proofErr w:type="gramStart"/>
      <w:r w:rsidRPr="008A1D6B">
        <w:rPr>
          <w:rStyle w:val="SUBST"/>
          <w:b w:val="0"/>
          <w:i w:val="0"/>
          <w:sz w:val="24"/>
          <w:szCs w:val="24"/>
          <w:lang w:val="ru-RU"/>
        </w:rPr>
        <w:t xml:space="preserve">статистических данных, взятых из различных экономических </w:t>
      </w:r>
      <w:r w:rsidRPr="008A1D6B">
        <w:rPr>
          <w:rStyle w:val="SUBST"/>
          <w:b w:val="0"/>
          <w:i w:val="0"/>
          <w:sz w:val="24"/>
          <w:szCs w:val="24"/>
          <w:lang w:val="ru-RU"/>
        </w:rPr>
        <w:lastRenderedPageBreak/>
        <w:t>источников</w:t>
      </w:r>
      <w:r>
        <w:rPr>
          <w:rStyle w:val="SUBST"/>
          <w:b w:val="0"/>
          <w:i w:val="0"/>
          <w:sz w:val="24"/>
          <w:szCs w:val="24"/>
          <w:lang w:val="ru-RU"/>
        </w:rPr>
        <w:t xml:space="preserve"> коэффициент признается</w:t>
      </w:r>
      <w:proofErr w:type="gramEnd"/>
      <w:r>
        <w:rPr>
          <w:rStyle w:val="SUBST"/>
          <w:b w:val="0"/>
          <w:i w:val="0"/>
          <w:sz w:val="24"/>
          <w:szCs w:val="24"/>
          <w:lang w:val="ru-RU"/>
        </w:rPr>
        <w:t xml:space="preserve"> эффективным, если он более 13. Делаем вывод: проект следует принять.</w:t>
      </w:r>
    </w:p>
    <w:p w:rsidR="00F75510" w:rsidRDefault="00F75510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</w:p>
    <w:p w:rsidR="00F75510" w:rsidRDefault="008A1D6B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Метод определения срока окупаемости инвестиций.</w:t>
      </w:r>
    </w:p>
    <w:p w:rsidR="00F75510" w:rsidRDefault="00F75510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</w:p>
    <w:p w:rsidR="00F75510" w:rsidRDefault="006A3724" w:rsidP="006A372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 как </w:t>
      </w:r>
      <w:r w:rsidRPr="00FC15CC">
        <w:rPr>
          <w:sz w:val="24"/>
          <w:szCs w:val="24"/>
          <w:lang w:val="ru-RU"/>
        </w:rPr>
        <w:t>прибыль распределена неравномерно по годам, то произв</w:t>
      </w:r>
      <w:r>
        <w:rPr>
          <w:sz w:val="24"/>
          <w:szCs w:val="24"/>
          <w:lang w:val="ru-RU"/>
        </w:rPr>
        <w:t>едем</w:t>
      </w:r>
      <w:r w:rsidRPr="00FC15CC">
        <w:rPr>
          <w:sz w:val="24"/>
          <w:szCs w:val="24"/>
          <w:lang w:val="ru-RU"/>
        </w:rPr>
        <w:t xml:space="preserve"> пошаговое суммирование годичных сумм денежных поступлений до тех пор, пока результат не станет равен</w:t>
      </w:r>
      <w:r>
        <w:rPr>
          <w:sz w:val="24"/>
          <w:szCs w:val="24"/>
          <w:lang w:val="ru-RU"/>
        </w:rPr>
        <w:t xml:space="preserve"> сумме инвестиций.</w:t>
      </w:r>
    </w:p>
    <w:p w:rsidR="006A3724" w:rsidRDefault="006A3724" w:rsidP="006A372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шаг:</w:t>
      </w:r>
    </w:p>
    <w:p w:rsidR="006A3724" w:rsidRDefault="006A3724" w:rsidP="006A3724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6A3724" w:rsidRPr="00CB445E" w:rsidRDefault="006A3724" w:rsidP="006A3724">
      <w:pPr>
        <w:spacing w:line="360" w:lineRule="auto"/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PP=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7199781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-479228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=-15</m:t>
          </m:r>
        </m:oMath>
      </m:oMathPara>
    </w:p>
    <w:p w:rsidR="00F75510" w:rsidRDefault="00F75510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 xml:space="preserve"> шаг:</w:t>
      </w: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B445E" w:rsidRPr="00CB445E" w:rsidRDefault="00CB445E" w:rsidP="00CB445E">
      <w:pPr>
        <w:spacing w:line="360" w:lineRule="auto"/>
        <w:ind w:firstLine="709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PP=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7199781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-479228+1039232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=12,86</m:t>
          </m:r>
        </m:oMath>
      </m:oMathPara>
    </w:p>
    <w:p w:rsidR="00F75510" w:rsidRDefault="00F75510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шаг:</w:t>
      </w: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B445E" w:rsidRPr="00CB445E" w:rsidRDefault="00CB445E" w:rsidP="00CB445E">
      <w:pPr>
        <w:spacing w:line="360" w:lineRule="auto"/>
        <w:ind w:firstLine="709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PP=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7199781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-479228+1039232+1401804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=3,67</m:t>
          </m:r>
        </m:oMath>
      </m:oMathPara>
    </w:p>
    <w:p w:rsidR="00F75510" w:rsidRDefault="00F75510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 шаг:</w:t>
      </w: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B445E" w:rsidRPr="00CB445E" w:rsidRDefault="00CB445E" w:rsidP="00CB445E">
      <w:pPr>
        <w:spacing w:line="360" w:lineRule="auto"/>
        <w:ind w:firstLine="709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PP=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7199781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-479228+1039232+1401804+4385088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=1,13</m:t>
          </m:r>
        </m:oMath>
      </m:oMathPara>
    </w:p>
    <w:p w:rsidR="00F75510" w:rsidRDefault="00F75510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</w:p>
    <w:p w:rsidR="00F75510" w:rsidRDefault="00F75510" w:rsidP="006818AB">
      <w:pPr>
        <w:spacing w:line="360" w:lineRule="auto"/>
        <w:ind w:left="1276" w:hanging="567"/>
        <w:rPr>
          <w:sz w:val="24"/>
          <w:szCs w:val="24"/>
          <w:lang w:val="ru-RU"/>
        </w:rPr>
      </w:pP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 шаг:</w:t>
      </w:r>
    </w:p>
    <w:p w:rsidR="00CB445E" w:rsidRDefault="00CB445E" w:rsidP="00CB445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B445E" w:rsidRPr="00CB445E" w:rsidRDefault="00CB445E" w:rsidP="00CB445E">
      <w:pPr>
        <w:spacing w:line="360" w:lineRule="auto"/>
        <w:ind w:firstLine="709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PP=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7199781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-479228+1039232+1401804+4385088+6444876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=0,56</m:t>
          </m:r>
        </m:oMath>
      </m:oMathPara>
    </w:p>
    <w:p w:rsidR="0068788F" w:rsidRDefault="0068788F" w:rsidP="00647DD2">
      <w:pPr>
        <w:spacing w:after="200" w:line="276" w:lineRule="auto"/>
        <w:rPr>
          <w:sz w:val="28"/>
          <w:szCs w:val="28"/>
          <w:lang w:val="ru-RU"/>
        </w:rPr>
      </w:pPr>
    </w:p>
    <w:p w:rsidR="00CB445E" w:rsidRPr="00CB445E" w:rsidRDefault="00CB445E" w:rsidP="00CB445E">
      <w:pPr>
        <w:spacing w:after="200" w:line="276" w:lineRule="auto"/>
        <w:ind w:firstLine="709"/>
        <w:rPr>
          <w:sz w:val="24"/>
          <w:szCs w:val="24"/>
          <w:lang w:val="ru-RU"/>
        </w:rPr>
      </w:pPr>
      <w:r w:rsidRPr="00CB445E">
        <w:rPr>
          <w:sz w:val="24"/>
          <w:szCs w:val="24"/>
          <w:lang w:val="ru-RU"/>
        </w:rPr>
        <w:t xml:space="preserve">На основании проведенных </w:t>
      </w:r>
      <w:r>
        <w:rPr>
          <w:sz w:val="24"/>
          <w:szCs w:val="24"/>
          <w:lang w:val="ru-RU"/>
        </w:rPr>
        <w:t>вычислений делаем вывод – проект окупиться менее чем за 5 лет. Исходя из того, что проект рассчитан на 6 лет проект принимается.</w:t>
      </w:r>
    </w:p>
    <w:p w:rsidR="0083181A" w:rsidRDefault="00B64750" w:rsidP="0083181A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447CC4" w:rsidRPr="00D762E7">
        <w:rPr>
          <w:b/>
          <w:sz w:val="24"/>
          <w:szCs w:val="24"/>
          <w:lang w:val="ru-RU"/>
        </w:rPr>
        <w:t xml:space="preserve">Глава </w:t>
      </w:r>
      <w:r w:rsidR="00F75510">
        <w:rPr>
          <w:b/>
          <w:sz w:val="24"/>
          <w:szCs w:val="24"/>
          <w:lang w:val="ru-RU"/>
        </w:rPr>
        <w:t>5</w:t>
      </w:r>
      <w:r w:rsidR="00447CC4" w:rsidRPr="00D762E7">
        <w:rPr>
          <w:b/>
          <w:sz w:val="24"/>
          <w:szCs w:val="24"/>
          <w:lang w:val="ru-RU"/>
        </w:rPr>
        <w:t>. Разработка мероприятий по повышению экологической эффективности предприятия</w:t>
      </w:r>
      <w:r w:rsidR="009C01A5">
        <w:rPr>
          <w:b/>
          <w:sz w:val="24"/>
          <w:szCs w:val="24"/>
          <w:lang w:val="ru-RU"/>
        </w:rPr>
        <w:t>.</w:t>
      </w:r>
    </w:p>
    <w:p w:rsidR="00A73620" w:rsidRDefault="00A73620" w:rsidP="00447CC4">
      <w:pPr>
        <w:pStyle w:val="aa"/>
        <w:shd w:val="clear" w:color="auto" w:fill="FFFFFF"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</w:p>
    <w:p w:rsidR="00A73620" w:rsidRDefault="00A73620" w:rsidP="00447CC4">
      <w:pPr>
        <w:pStyle w:val="aa"/>
        <w:shd w:val="clear" w:color="auto" w:fill="FFFFFF"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</w:p>
    <w:p w:rsidR="00447CC4" w:rsidRPr="00D762E7" w:rsidRDefault="00447CC4" w:rsidP="00FE583C">
      <w:pPr>
        <w:pStyle w:val="aa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Одним из определяющих аспектов Программы технического перевооружения является повышение экологической безопасности производства. Это позволяет добиваться достижения стратегических целей бизнеса, исключая возможные экологические риски.</w:t>
      </w:r>
    </w:p>
    <w:p w:rsidR="00447CC4" w:rsidRPr="00D762E7" w:rsidRDefault="00447CC4" w:rsidP="00FE583C">
      <w:pPr>
        <w:pStyle w:val="aa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 xml:space="preserve">Сокращение негативного воздействия на окружающую среду является результатом планомерной инвестиционной деятельности предприятий Группы. Инвестиции в проекты технического перевооружения и модернизацию основного производства и природоохранной техники, а также в обеспечение безопасной и стабильной работы, обеспечивающие экологический эффект, составили по Группе в 2010 году 150 </w:t>
      </w:r>
      <w:proofErr w:type="spellStart"/>
      <w:proofErr w:type="gramStart"/>
      <w:r w:rsidRPr="00D762E7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D762E7">
        <w:rPr>
          <w:bCs/>
          <w:sz w:val="24"/>
          <w:szCs w:val="24"/>
          <w:lang w:val="ru-RU"/>
        </w:rPr>
        <w:t xml:space="preserve"> долларов против 137 </w:t>
      </w:r>
      <w:proofErr w:type="spellStart"/>
      <w:r w:rsidRPr="00D762E7">
        <w:rPr>
          <w:bCs/>
          <w:sz w:val="24"/>
          <w:szCs w:val="24"/>
          <w:lang w:val="ru-RU"/>
        </w:rPr>
        <w:t>млн</w:t>
      </w:r>
      <w:proofErr w:type="spellEnd"/>
      <w:r w:rsidRPr="00D762E7">
        <w:rPr>
          <w:bCs/>
          <w:sz w:val="24"/>
          <w:szCs w:val="24"/>
          <w:lang w:val="ru-RU"/>
        </w:rPr>
        <w:t xml:space="preserve"> долларов в 2009 году и на протяжении 5-ти лет характеризуются устойчиво положительной динамикой.</w:t>
      </w:r>
    </w:p>
    <w:p w:rsidR="00447CC4" w:rsidRPr="00D762E7" w:rsidRDefault="00447CC4" w:rsidP="00FE583C">
      <w:pPr>
        <w:pStyle w:val="aa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Приоритетными задачами в области охраны окружающей среды компаний Группы на 2011 год являются:</w:t>
      </w:r>
    </w:p>
    <w:p w:rsidR="00447CC4" w:rsidRPr="00D762E7" w:rsidRDefault="00447CC4" w:rsidP="00B60D3F">
      <w:pPr>
        <w:pStyle w:val="aa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завершение природоохранных проектов программы 2-ого этапа технического перевооружения и развития в установленные сроки;</w:t>
      </w:r>
    </w:p>
    <w:p w:rsidR="00447CC4" w:rsidRPr="00D762E7" w:rsidRDefault="00447CC4" w:rsidP="00B60D3F">
      <w:pPr>
        <w:pStyle w:val="aa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достижение гарантийных показателей инвестиционных проектов по воздействию на окружающую среду;</w:t>
      </w:r>
    </w:p>
    <w:p w:rsidR="00447CC4" w:rsidRDefault="00447CC4" w:rsidP="00B60D3F">
      <w:pPr>
        <w:pStyle w:val="aa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минимизация финансовых рисков, обусловленных экологическими проблемами.</w:t>
      </w:r>
    </w:p>
    <w:p w:rsidR="0068005F" w:rsidRDefault="0068005F" w:rsidP="0068005F">
      <w:pPr>
        <w:pStyle w:val="aa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</w:p>
    <w:p w:rsidR="0068005F" w:rsidRPr="0068005F" w:rsidRDefault="0068005F" w:rsidP="0068005F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68005F">
        <w:rPr>
          <w:bCs/>
          <w:i/>
          <w:iCs/>
          <w:sz w:val="24"/>
          <w:szCs w:val="24"/>
          <w:lang w:val="ru-RU"/>
        </w:rPr>
        <w:t>Охрана атмосферы.</w:t>
      </w:r>
      <w:r w:rsidRPr="0068005F">
        <w:rPr>
          <w:bCs/>
          <w:sz w:val="24"/>
          <w:szCs w:val="24"/>
          <w:lang w:val="ru-RU"/>
        </w:rPr>
        <w:t> </w:t>
      </w:r>
      <w:proofErr w:type="gramStart"/>
      <w:r w:rsidRPr="0068005F">
        <w:rPr>
          <w:bCs/>
          <w:sz w:val="24"/>
          <w:szCs w:val="24"/>
          <w:lang w:val="ru-RU"/>
        </w:rPr>
        <w:t>С 2000-го по 2012 год ОАО «НЛМК» увеличило производство стали на 48%, чугуна на 54%, агломерата на 22%. При этом объём валовых выбросов в атмосферу сократился на 22% - с 356 тысяч до 277 тысяч т в год, а удельные выбросы уменьшились на 47% - с 43,2 до 22,74 кг на тонну стали.</w:t>
      </w:r>
      <w:proofErr w:type="gramEnd"/>
    </w:p>
    <w:p w:rsidR="0068005F" w:rsidRPr="0068005F" w:rsidRDefault="0068005F" w:rsidP="0068005F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68005F">
        <w:rPr>
          <w:bCs/>
          <w:i/>
          <w:iCs/>
          <w:sz w:val="24"/>
          <w:szCs w:val="24"/>
          <w:lang w:val="ru-RU"/>
        </w:rPr>
        <w:t>Охрана водного бассейна.</w:t>
      </w:r>
      <w:r w:rsidRPr="0068005F">
        <w:rPr>
          <w:bCs/>
          <w:sz w:val="24"/>
          <w:szCs w:val="24"/>
          <w:lang w:val="ru-RU"/>
        </w:rPr>
        <w:t> За 12 лет компании удалось значительно сократить использование воды и снизить негативное воздействие от сброса сточных вод. Потребление речной воды снизилось на 77% - до 22,5 млн. куб. м в год. В 2009 году предприятие в Липецке прекратило сброс промышленных сточных вод в реку Воронеж, а удельное потребление воды для нужд производства в 2012 г. снизилось на 15% по сравнению с 2011 г.</w:t>
      </w:r>
    </w:p>
    <w:p w:rsidR="0068005F" w:rsidRPr="0068005F" w:rsidRDefault="0068005F" w:rsidP="0068005F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68005F">
        <w:rPr>
          <w:bCs/>
          <w:i/>
          <w:iCs/>
          <w:sz w:val="24"/>
          <w:szCs w:val="24"/>
          <w:lang w:val="ru-RU"/>
        </w:rPr>
        <w:t>Утилизация отходов.</w:t>
      </w:r>
      <w:r w:rsidRPr="0068005F">
        <w:rPr>
          <w:bCs/>
          <w:sz w:val="24"/>
          <w:szCs w:val="24"/>
          <w:lang w:val="ru-RU"/>
        </w:rPr>
        <w:t xml:space="preserve"> Систематическая и планомерная работа позволила на основной производственной площадке в Липецке прекратить с 2003 года накопление </w:t>
      </w:r>
      <w:r w:rsidRPr="0068005F">
        <w:rPr>
          <w:bCs/>
          <w:sz w:val="24"/>
          <w:szCs w:val="24"/>
          <w:lang w:val="ru-RU"/>
        </w:rPr>
        <w:lastRenderedPageBreak/>
        <w:t>твердых промышленных отходов и приступить к переработке ранее накопленных. С 2004-го по 2012 год количество ранее накопленных отходов сокращено на 1,8 млн. тонн. В 2012 году на территории комбината переработано около 4,5 млн. т отходов, в том числе 4,3 млн. т. текущих и почти 0,2 млн. т ранее накопленных. После переработки возвращено в производство более 2,6 млн. т в качестве сырья, остальная часть направлена для производства строительных материалов, обустройства внутренних дорог и рекультивации объектов на территории комбината. Объем переработки, реализации и использования отходов производства составил в 2012 году почти 94% от объема образовавшихся.</w:t>
      </w:r>
    </w:p>
    <w:p w:rsidR="005112E2" w:rsidRDefault="005112E2" w:rsidP="0068005F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i/>
          <w:sz w:val="24"/>
          <w:szCs w:val="24"/>
          <w:u w:val="single"/>
          <w:lang w:val="ru-RU"/>
        </w:rPr>
      </w:pPr>
      <w:r w:rsidRPr="00B60D3F">
        <w:rPr>
          <w:bCs/>
          <w:i/>
          <w:sz w:val="24"/>
          <w:szCs w:val="24"/>
          <w:u w:val="single"/>
          <w:lang w:val="ru-RU"/>
        </w:rPr>
        <w:t>Новые экологические проекты.</w:t>
      </w:r>
    </w:p>
    <w:p w:rsidR="005112E2" w:rsidRDefault="005112E2" w:rsidP="0068005F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 xml:space="preserve">Расширение мощностей </w:t>
      </w:r>
      <w:proofErr w:type="spellStart"/>
      <w:r w:rsidRPr="005112E2">
        <w:rPr>
          <w:bCs/>
          <w:sz w:val="24"/>
          <w:szCs w:val="24"/>
          <w:lang w:val="ru-RU"/>
        </w:rPr>
        <w:t>Стойленского</w:t>
      </w:r>
      <w:proofErr w:type="spellEnd"/>
      <w:r w:rsidRPr="005112E2">
        <w:rPr>
          <w:bCs/>
          <w:sz w:val="24"/>
          <w:szCs w:val="24"/>
          <w:lang w:val="ru-RU"/>
        </w:rPr>
        <w:t xml:space="preserve"> </w:t>
      </w:r>
      <w:proofErr w:type="spellStart"/>
      <w:r w:rsidRPr="005112E2">
        <w:rPr>
          <w:bCs/>
          <w:sz w:val="24"/>
          <w:szCs w:val="24"/>
          <w:lang w:val="ru-RU"/>
        </w:rPr>
        <w:t>ГОКа</w:t>
      </w:r>
      <w:proofErr w:type="spellEnd"/>
      <w:r w:rsidRPr="005112E2">
        <w:rPr>
          <w:bCs/>
          <w:sz w:val="24"/>
          <w:szCs w:val="24"/>
          <w:lang w:val="ru-RU"/>
        </w:rPr>
        <w:t xml:space="preserve"> на 30%</w:t>
      </w:r>
      <w:r>
        <w:rPr>
          <w:bCs/>
          <w:sz w:val="24"/>
          <w:szCs w:val="24"/>
          <w:lang w:val="ru-RU"/>
        </w:rPr>
        <w:t>.</w:t>
      </w:r>
    </w:p>
    <w:p w:rsidR="005112E2" w:rsidRP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 xml:space="preserve">В рамках стратегии по усилению экономически эффективной интеграции по основному сырью Компания реализует масштабную программу перспективного развития на </w:t>
      </w:r>
      <w:proofErr w:type="spellStart"/>
      <w:r w:rsidRPr="005112E2">
        <w:rPr>
          <w:bCs/>
          <w:sz w:val="24"/>
          <w:szCs w:val="24"/>
          <w:lang w:val="ru-RU"/>
        </w:rPr>
        <w:t>Стойленском</w:t>
      </w:r>
      <w:proofErr w:type="spellEnd"/>
      <w:r w:rsidRPr="005112E2">
        <w:rPr>
          <w:bCs/>
          <w:sz w:val="24"/>
          <w:szCs w:val="24"/>
          <w:lang w:val="ru-RU"/>
        </w:rPr>
        <w:t xml:space="preserve"> </w:t>
      </w:r>
      <w:proofErr w:type="spellStart"/>
      <w:r w:rsidRPr="005112E2">
        <w:rPr>
          <w:bCs/>
          <w:sz w:val="24"/>
          <w:szCs w:val="24"/>
          <w:lang w:val="ru-RU"/>
        </w:rPr>
        <w:t>ГОКе</w:t>
      </w:r>
      <w:proofErr w:type="spellEnd"/>
      <w:r w:rsidRPr="005112E2">
        <w:rPr>
          <w:bCs/>
          <w:sz w:val="24"/>
          <w:szCs w:val="24"/>
          <w:lang w:val="ru-RU"/>
        </w:rPr>
        <w:t xml:space="preserve">, которая позволит полностью обеспечить потребности Группы в высококачественном железорудном сырье, включая окатыши и железорудный концентрат. </w:t>
      </w:r>
    </w:p>
    <w:p w:rsidR="005112E2" w:rsidRP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 xml:space="preserve">Строительство фабрики </w:t>
      </w:r>
      <w:proofErr w:type="spellStart"/>
      <w:r w:rsidRPr="005112E2">
        <w:rPr>
          <w:bCs/>
          <w:sz w:val="24"/>
          <w:szCs w:val="24"/>
          <w:lang w:val="ru-RU"/>
        </w:rPr>
        <w:t>окомкования</w:t>
      </w:r>
      <w:proofErr w:type="spellEnd"/>
      <w:r w:rsidRPr="005112E2">
        <w:rPr>
          <w:bCs/>
          <w:sz w:val="24"/>
          <w:szCs w:val="24"/>
          <w:lang w:val="ru-RU"/>
        </w:rPr>
        <w:t xml:space="preserve"> мощностью 6 </w:t>
      </w:r>
      <w:proofErr w:type="spellStart"/>
      <w:proofErr w:type="gramStart"/>
      <w:r w:rsidRPr="005112E2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5112E2">
        <w:rPr>
          <w:bCs/>
          <w:sz w:val="24"/>
          <w:szCs w:val="24"/>
          <w:lang w:val="ru-RU"/>
        </w:rPr>
        <w:t xml:space="preserve"> т в год является ключевым проектом этой программы. Реализация проекта началась в 2012 году. </w:t>
      </w:r>
    </w:p>
    <w:p w:rsidR="005112E2" w:rsidRP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 xml:space="preserve">Кроме того, для обеспечения фабрики </w:t>
      </w:r>
      <w:proofErr w:type="spellStart"/>
      <w:r w:rsidRPr="005112E2">
        <w:rPr>
          <w:bCs/>
          <w:sz w:val="24"/>
          <w:szCs w:val="24"/>
          <w:lang w:val="ru-RU"/>
        </w:rPr>
        <w:t>окомкования</w:t>
      </w:r>
      <w:proofErr w:type="spellEnd"/>
      <w:r w:rsidRPr="005112E2">
        <w:rPr>
          <w:bCs/>
          <w:sz w:val="24"/>
          <w:szCs w:val="24"/>
          <w:lang w:val="ru-RU"/>
        </w:rPr>
        <w:t xml:space="preserve"> сырьем в необходимом количестве планируется развитие отдельных объектов инфраструктуры комбината:</w:t>
      </w:r>
    </w:p>
    <w:p w:rsidR="005112E2" w:rsidRP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 xml:space="preserve">- увеличение добычи руды на 30% до 42 </w:t>
      </w:r>
      <w:proofErr w:type="spellStart"/>
      <w:proofErr w:type="gramStart"/>
      <w:r w:rsidRPr="005112E2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5112E2">
        <w:rPr>
          <w:bCs/>
          <w:sz w:val="24"/>
          <w:szCs w:val="24"/>
          <w:lang w:val="ru-RU"/>
        </w:rPr>
        <w:t xml:space="preserve"> т/год за счет расширения действующего открытого карьера;</w:t>
      </w:r>
    </w:p>
    <w:p w:rsidR="005112E2" w:rsidRP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 xml:space="preserve">- строительство 5 секции фабрики обогащения, которая позволит нарастить производство железорудного концентрата на 30% с 14 </w:t>
      </w:r>
      <w:proofErr w:type="spellStart"/>
      <w:proofErr w:type="gramStart"/>
      <w:r w:rsidRPr="005112E2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5112E2">
        <w:rPr>
          <w:bCs/>
          <w:sz w:val="24"/>
          <w:szCs w:val="24"/>
          <w:lang w:val="ru-RU"/>
        </w:rPr>
        <w:t xml:space="preserve"> т/год до 18 </w:t>
      </w:r>
      <w:proofErr w:type="spellStart"/>
      <w:r w:rsidRPr="005112E2">
        <w:rPr>
          <w:bCs/>
          <w:sz w:val="24"/>
          <w:szCs w:val="24"/>
          <w:lang w:val="ru-RU"/>
        </w:rPr>
        <w:t>млн</w:t>
      </w:r>
      <w:proofErr w:type="spellEnd"/>
      <w:r w:rsidRPr="005112E2">
        <w:rPr>
          <w:bCs/>
          <w:sz w:val="24"/>
          <w:szCs w:val="24"/>
          <w:lang w:val="ru-RU"/>
        </w:rPr>
        <w:t xml:space="preserve"> т; </w:t>
      </w:r>
    </w:p>
    <w:p w:rsid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>- строительство корпусов среднего и мелкого дробления, корпусов крупного дробления и др. объектов инфраструктуры.</w:t>
      </w:r>
    </w:p>
    <w:p w:rsid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Рис. 5.1</w:t>
      </w:r>
    </w:p>
    <w:p w:rsid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>
        <w:rPr>
          <w:bCs/>
          <w:noProof/>
          <w:sz w:val="24"/>
          <w:szCs w:val="24"/>
          <w:lang w:val="ru-RU"/>
        </w:rPr>
        <w:drawing>
          <wp:inline distT="0" distB="0" distL="0" distR="0">
            <wp:extent cx="5295900" cy="2495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E2" w:rsidRDefault="005112E2" w:rsidP="005112E2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lastRenderedPageBreak/>
        <w:t>Реконструкция методической печи</w:t>
      </w:r>
      <w:r>
        <w:rPr>
          <w:bCs/>
          <w:sz w:val="24"/>
          <w:szCs w:val="24"/>
          <w:lang w:val="ru-RU"/>
        </w:rPr>
        <w:t>.</w:t>
      </w:r>
    </w:p>
    <w:p w:rsidR="005112E2" w:rsidRPr="005112E2" w:rsidRDefault="005112E2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proofErr w:type="gramStart"/>
      <w:r w:rsidRPr="005112E2">
        <w:rPr>
          <w:bCs/>
          <w:sz w:val="24"/>
          <w:szCs w:val="24"/>
          <w:lang w:val="ru-RU"/>
        </w:rPr>
        <w:t>Реконструкция методической печи №3 увеличила ее производительность в комплексе с другими мероприятиями по реконструкции стана 2000 до 320 т/час при одновременном снижении удельного расхода топлива на 29,5 кг/т. Обновленное оборудование позволило стабилизировать процесс горячей прокатки, снизить угар металла, повысить точность параметров полосы при прокатке и сократить количество выбросов в атмосферу.</w:t>
      </w:r>
      <w:proofErr w:type="gramEnd"/>
      <w:r w:rsidRPr="005112E2">
        <w:rPr>
          <w:bCs/>
          <w:sz w:val="24"/>
          <w:szCs w:val="24"/>
          <w:lang w:val="ru-RU"/>
        </w:rPr>
        <w:t xml:space="preserve"> Реконструированная печь позволяет обрабатывать заготовку для производства разнообразных видов конечной продукции, в том числе </w:t>
      </w:r>
      <w:proofErr w:type="spellStart"/>
      <w:r w:rsidRPr="005112E2">
        <w:rPr>
          <w:bCs/>
          <w:sz w:val="24"/>
          <w:szCs w:val="24"/>
          <w:lang w:val="ru-RU"/>
        </w:rPr>
        <w:t>нишевого</w:t>
      </w:r>
      <w:proofErr w:type="spellEnd"/>
      <w:r w:rsidRPr="005112E2">
        <w:rPr>
          <w:bCs/>
          <w:sz w:val="24"/>
          <w:szCs w:val="24"/>
          <w:lang w:val="ru-RU"/>
        </w:rPr>
        <w:t xml:space="preserve"> трансформаторного проката. </w:t>
      </w:r>
    </w:p>
    <w:p w:rsidR="00D40C4E" w:rsidRDefault="005112E2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5112E2">
        <w:rPr>
          <w:bCs/>
          <w:sz w:val="24"/>
          <w:szCs w:val="24"/>
          <w:lang w:val="ru-RU"/>
        </w:rPr>
        <w:t xml:space="preserve">Этот проект стал третьим по счету агрегатом нового типа в производстве горячего проката в Липецке, в комплексе с другими мероприятиями по реконструкции стана 2000 его реализация даст возможность повысить производство горячекатаного проката до 5,7 </w:t>
      </w:r>
      <w:proofErr w:type="spellStart"/>
      <w:proofErr w:type="gramStart"/>
      <w:r w:rsidRPr="005112E2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5112E2">
        <w:rPr>
          <w:bCs/>
          <w:sz w:val="24"/>
          <w:szCs w:val="24"/>
          <w:lang w:val="ru-RU"/>
        </w:rPr>
        <w:t xml:space="preserve"> т/год</w:t>
      </w:r>
      <w:r w:rsidR="00D40C4E">
        <w:rPr>
          <w:bCs/>
          <w:sz w:val="24"/>
          <w:szCs w:val="24"/>
          <w:lang w:val="ru-RU"/>
        </w:rPr>
        <w:t>.</w:t>
      </w:r>
    </w:p>
    <w:p w:rsid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>Снижение себестоимости продукции за счет экономии на сырье</w:t>
      </w:r>
      <w:r>
        <w:rPr>
          <w:bCs/>
          <w:sz w:val="24"/>
          <w:szCs w:val="24"/>
          <w:lang w:val="ru-RU"/>
        </w:rPr>
        <w:t>.</w:t>
      </w:r>
    </w:p>
    <w:p w:rsidR="00D40C4E" w:rsidRP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 xml:space="preserve">На липецкой площадке в доменном производстве ведется строительство установок по вдуванию пылеугольного топлива (ПУТ) на ДП №№3-5, в 2013 году ожидается пуск установки вдувания ПУТ на ДП№5, мощностью около 2,6 </w:t>
      </w:r>
      <w:proofErr w:type="spellStart"/>
      <w:proofErr w:type="gramStart"/>
      <w:r w:rsidRPr="00D40C4E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D40C4E">
        <w:rPr>
          <w:bCs/>
          <w:sz w:val="24"/>
          <w:szCs w:val="24"/>
          <w:lang w:val="ru-RU"/>
        </w:rPr>
        <w:t xml:space="preserve"> т чугуна (или около 20% от всей мощности липецкой площадки). </w:t>
      </w:r>
    </w:p>
    <w:p w:rsidR="00D40C4E" w:rsidRP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 xml:space="preserve">Планируется постепенное освоение этой технологи и ее применение на доменных печах №№3,4,6,7 комбината. </w:t>
      </w:r>
    </w:p>
    <w:p w:rsid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>Ожидается, что внедрение технологии ПУТ в перспективе позволит сократить потребление природного газа и кокса при производстве чугуна за счет вдувания в доменные печи энергетического угля</w:t>
      </w:r>
      <w:r>
        <w:rPr>
          <w:bCs/>
          <w:sz w:val="24"/>
          <w:szCs w:val="24"/>
          <w:lang w:val="ru-RU"/>
        </w:rPr>
        <w:t>.</w:t>
      </w:r>
    </w:p>
    <w:p w:rsid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</w:p>
    <w:p w:rsid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Рис. 5.2</w:t>
      </w:r>
    </w:p>
    <w:p w:rsid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>
        <w:rPr>
          <w:bCs/>
          <w:noProof/>
          <w:sz w:val="24"/>
          <w:szCs w:val="24"/>
          <w:lang w:val="ru-RU"/>
        </w:rPr>
        <w:drawing>
          <wp:inline distT="0" distB="0" distL="0" distR="0">
            <wp:extent cx="3857625" cy="21526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</w:p>
    <w:p w:rsidR="00D40C4E" w:rsidRDefault="00D40C4E" w:rsidP="00D40C4E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lastRenderedPageBreak/>
        <w:t xml:space="preserve">Новая высокопроизводительная установка </w:t>
      </w:r>
      <w:proofErr w:type="spellStart"/>
      <w:r w:rsidRPr="00D40C4E">
        <w:rPr>
          <w:bCs/>
          <w:sz w:val="24"/>
          <w:szCs w:val="24"/>
          <w:lang w:val="ru-RU"/>
        </w:rPr>
        <w:t>десульфурации</w:t>
      </w:r>
      <w:proofErr w:type="spellEnd"/>
      <w:r w:rsidRPr="00D40C4E">
        <w:rPr>
          <w:bCs/>
          <w:sz w:val="24"/>
          <w:szCs w:val="24"/>
          <w:lang w:val="ru-RU"/>
        </w:rPr>
        <w:t xml:space="preserve"> чугуна</w:t>
      </w:r>
      <w:r>
        <w:rPr>
          <w:bCs/>
          <w:sz w:val="24"/>
          <w:szCs w:val="24"/>
          <w:lang w:val="ru-RU"/>
        </w:rPr>
        <w:t>.</w:t>
      </w:r>
    </w:p>
    <w:p w:rsidR="00D40C4E" w:rsidRPr="00D40C4E" w:rsidRDefault="00D40C4E" w:rsidP="00CB7915">
      <w:pPr>
        <w:pStyle w:val="aa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 xml:space="preserve">В рамках реализации стратегии по улучшению качества производимой продукции НЛМК ввел в строй двухпозиционную установку </w:t>
      </w:r>
      <w:proofErr w:type="spellStart"/>
      <w:r w:rsidRPr="00D40C4E">
        <w:rPr>
          <w:bCs/>
          <w:sz w:val="24"/>
          <w:szCs w:val="24"/>
          <w:lang w:val="ru-RU"/>
        </w:rPr>
        <w:t>десульфурации</w:t>
      </w:r>
      <w:proofErr w:type="spellEnd"/>
      <w:r w:rsidRPr="00D40C4E">
        <w:rPr>
          <w:bCs/>
          <w:sz w:val="24"/>
          <w:szCs w:val="24"/>
          <w:lang w:val="ru-RU"/>
        </w:rPr>
        <w:t xml:space="preserve"> чугуна мощностью 5,8 </w:t>
      </w:r>
      <w:proofErr w:type="spellStart"/>
      <w:proofErr w:type="gramStart"/>
      <w:r w:rsidRPr="00D40C4E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D40C4E">
        <w:rPr>
          <w:bCs/>
          <w:sz w:val="24"/>
          <w:szCs w:val="24"/>
          <w:lang w:val="ru-RU"/>
        </w:rPr>
        <w:t xml:space="preserve"> т в год. Новое оборудование позволило перевести доменные печи на выплавку чугуна с пониженным содержанием кремния и одновременно увеличить долю стали с низким содержанием серы. Производственный комплекс снабжен высокоэффективной системой аспирации отходящих газов, обеспечивающей экологические показатели, полностью отвечающие уровню наилучших доступных технологий.</w:t>
      </w:r>
    </w:p>
    <w:p w:rsidR="00D40C4E" w:rsidRDefault="00D40C4E" w:rsidP="00CB7915">
      <w:pPr>
        <w:pStyle w:val="aa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 xml:space="preserve">Проект напрямую связан с осуществлением планов увеличения производства высококачественной стали с 9 до 12,4 </w:t>
      </w:r>
      <w:proofErr w:type="spellStart"/>
      <w:proofErr w:type="gramStart"/>
      <w:r w:rsidRPr="00D40C4E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D40C4E">
        <w:rPr>
          <w:bCs/>
          <w:sz w:val="24"/>
          <w:szCs w:val="24"/>
          <w:lang w:val="ru-RU"/>
        </w:rPr>
        <w:t xml:space="preserve"> т после ввода доменной печи «Россиянка» и нового конвертера. Ранее в конвертерном производстве введены в строй три установки </w:t>
      </w:r>
      <w:proofErr w:type="spellStart"/>
      <w:r w:rsidRPr="00D40C4E">
        <w:rPr>
          <w:bCs/>
          <w:sz w:val="24"/>
          <w:szCs w:val="24"/>
          <w:lang w:val="ru-RU"/>
        </w:rPr>
        <w:t>десульфурации</w:t>
      </w:r>
      <w:proofErr w:type="spellEnd"/>
      <w:r w:rsidRPr="00D40C4E">
        <w:rPr>
          <w:bCs/>
          <w:sz w:val="24"/>
          <w:szCs w:val="24"/>
          <w:lang w:val="ru-RU"/>
        </w:rPr>
        <w:t xml:space="preserve"> чугуна суммарной мощностью около 7 </w:t>
      </w:r>
      <w:proofErr w:type="spellStart"/>
      <w:proofErr w:type="gramStart"/>
      <w:r w:rsidRPr="00D40C4E">
        <w:rPr>
          <w:bCs/>
          <w:sz w:val="24"/>
          <w:szCs w:val="24"/>
          <w:lang w:val="ru-RU"/>
        </w:rPr>
        <w:t>млн</w:t>
      </w:r>
      <w:proofErr w:type="spellEnd"/>
      <w:proofErr w:type="gramEnd"/>
      <w:r w:rsidRPr="00D40C4E">
        <w:rPr>
          <w:bCs/>
          <w:sz w:val="24"/>
          <w:szCs w:val="24"/>
          <w:lang w:val="ru-RU"/>
        </w:rPr>
        <w:t xml:space="preserve"> т в год</w:t>
      </w:r>
      <w:r>
        <w:rPr>
          <w:bCs/>
          <w:sz w:val="24"/>
          <w:szCs w:val="24"/>
          <w:lang w:val="ru-RU"/>
        </w:rPr>
        <w:t>.</w:t>
      </w:r>
    </w:p>
    <w:p w:rsidR="00D40C4E" w:rsidRDefault="00D40C4E" w:rsidP="00CB7915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>Новые технологии переработки отходов на липецкой площадке</w:t>
      </w:r>
      <w:r>
        <w:rPr>
          <w:bCs/>
          <w:sz w:val="24"/>
          <w:szCs w:val="24"/>
          <w:lang w:val="ru-RU"/>
        </w:rPr>
        <w:t>.</w:t>
      </w:r>
    </w:p>
    <w:p w:rsidR="00D40C4E" w:rsidRPr="00D40C4E" w:rsidRDefault="00D40C4E" w:rsidP="00CB7915">
      <w:pPr>
        <w:pStyle w:val="aa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 xml:space="preserve">На НЛМК впервые в России разработана технология использования кальцийсодержащих шламов, ранее не вовлекавшихся в производство. Новая технология позволит перерабатывать около 500 тонн в год кальцийсодержащих отходов, которые образуются в производственных процессах доменного и теплосилового цехов комбината. Технология предусматривает повторное использование шлама вместо известкового раствора для обработки мульд – специальных форм для отливки заготовок чугуна. </w:t>
      </w:r>
    </w:p>
    <w:p w:rsidR="00D40C4E" w:rsidRDefault="00D40C4E" w:rsidP="00CB7915">
      <w:pPr>
        <w:pStyle w:val="aa"/>
        <w:tabs>
          <w:tab w:val="left" w:pos="0"/>
        </w:tabs>
        <w:suppressAutoHyphens/>
        <w:spacing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D40C4E">
        <w:rPr>
          <w:bCs/>
          <w:sz w:val="24"/>
          <w:szCs w:val="24"/>
          <w:lang w:val="ru-RU"/>
        </w:rPr>
        <w:t>Этот способ, разработанный специалистами комбината, позволяет не только утилизировать производственные отходы, но и снизить на 10% (150 тонн в год) потребление извести доменным цехом №1. На данный момент смонтировано необходимое оборудование, проведены испытания специальной установки. В настоящее время осуществляются мероприятия по устранению выявленных в ходе испытаний замечаний. Ориентировочный срок проведения повторных испытаний - 2015 г.</w:t>
      </w:r>
    </w:p>
    <w:p w:rsidR="0068005F" w:rsidRPr="0068005F" w:rsidRDefault="0068005F" w:rsidP="00CB7915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68005F">
        <w:rPr>
          <w:bCs/>
          <w:sz w:val="24"/>
          <w:szCs w:val="24"/>
          <w:lang w:val="ru-RU"/>
        </w:rPr>
        <w:t xml:space="preserve">В 2012 году на реализацию природоохранных проектов на производственной площадке в Липецке затрачено 1,28 млрд. рублей. Несмотря на увеличение производства стали на 25% - до 12,2 млн. т валовые выбросы в атмосферу сократились на 124 т против уровня 2011 года, а удельные выбросы снизились на 20%. Экологический эффект достигнут благодаря реконструкции оборудования в доменном и конвертерном производствах с использованием лучших достижений в металлургии. Среди наиболее значимых мероприятий - внедрение системы пылеподавления в цехе железобетонных изделий, ремонт воздухонагревателей в доменном производстве, оптимизация работы газоочисток в конвертерном цехе № 1 и </w:t>
      </w:r>
      <w:proofErr w:type="spellStart"/>
      <w:r w:rsidRPr="0068005F">
        <w:rPr>
          <w:bCs/>
          <w:sz w:val="24"/>
          <w:szCs w:val="24"/>
          <w:lang w:val="ru-RU"/>
        </w:rPr>
        <w:t>аглопроизводстве</w:t>
      </w:r>
      <w:proofErr w:type="spellEnd"/>
      <w:r w:rsidRPr="0068005F">
        <w:rPr>
          <w:bCs/>
          <w:sz w:val="24"/>
          <w:szCs w:val="24"/>
          <w:lang w:val="ru-RU"/>
        </w:rPr>
        <w:t xml:space="preserve">. Наиболее крупные инвестиции </w:t>
      </w:r>
      <w:r w:rsidRPr="0068005F">
        <w:rPr>
          <w:bCs/>
          <w:sz w:val="24"/>
          <w:szCs w:val="24"/>
          <w:lang w:val="ru-RU"/>
        </w:rPr>
        <w:lastRenderedPageBreak/>
        <w:t xml:space="preserve">были направлены на реконструкцию отделения перелива чугуна в конвертерном цехе № 2 с внедрением эффективных технологий подавления бурого дыма и улавливания пыли и графита, а также на реконструкцию центральной аспирационной системы в </w:t>
      </w:r>
      <w:proofErr w:type="spellStart"/>
      <w:r w:rsidRPr="0068005F">
        <w:rPr>
          <w:bCs/>
          <w:sz w:val="24"/>
          <w:szCs w:val="24"/>
          <w:lang w:val="ru-RU"/>
        </w:rPr>
        <w:t>аглопроизводстве</w:t>
      </w:r>
      <w:proofErr w:type="spellEnd"/>
      <w:r w:rsidRPr="0068005F">
        <w:rPr>
          <w:bCs/>
          <w:sz w:val="24"/>
          <w:szCs w:val="24"/>
          <w:lang w:val="ru-RU"/>
        </w:rPr>
        <w:t xml:space="preserve"> с установкой современных электрофильтров.</w:t>
      </w:r>
    </w:p>
    <w:p w:rsidR="0068005F" w:rsidRPr="0068005F" w:rsidRDefault="0068005F" w:rsidP="00CB7915">
      <w:pPr>
        <w:pStyle w:val="aa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bCs/>
          <w:sz w:val="24"/>
          <w:szCs w:val="24"/>
          <w:lang w:val="ru-RU"/>
        </w:rPr>
      </w:pPr>
      <w:r w:rsidRPr="0068005F">
        <w:rPr>
          <w:bCs/>
          <w:sz w:val="24"/>
          <w:szCs w:val="24"/>
          <w:lang w:val="ru-RU"/>
        </w:rPr>
        <w:t>Общий объем природоохранных инвестиций при реализации 2 этапа Программы технического перевооружения (2007 - 2012 гг.) на площадке в Липецке составил 17,6 млрд. рублей, благодаря чему объем вредных выбросов за последние пять лет снизился более чем на 31 тысячу тонн.</w:t>
      </w:r>
    </w:p>
    <w:p w:rsidR="00FE583C" w:rsidRPr="0068005F" w:rsidRDefault="00FE583C" w:rsidP="00D40C4E">
      <w:pPr>
        <w:pStyle w:val="aa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sz w:val="24"/>
          <w:szCs w:val="24"/>
          <w:lang w:val="ru-RU"/>
        </w:rPr>
      </w:pPr>
    </w:p>
    <w:p w:rsidR="00F75510" w:rsidRPr="00A76D05" w:rsidRDefault="00F75510" w:rsidP="00F75510">
      <w:pPr>
        <w:pageBreakBefore/>
        <w:suppressAutoHyphens/>
        <w:spacing w:line="360" w:lineRule="auto"/>
        <w:ind w:right="425" w:firstLine="567"/>
        <w:jc w:val="both"/>
        <w:rPr>
          <w:b/>
          <w:bCs/>
          <w:sz w:val="28"/>
          <w:szCs w:val="28"/>
          <w:lang w:val="ru-RU"/>
        </w:rPr>
      </w:pPr>
      <w:r w:rsidRPr="00A76D05">
        <w:rPr>
          <w:b/>
          <w:bCs/>
          <w:sz w:val="28"/>
          <w:szCs w:val="28"/>
          <w:lang w:val="ru-RU"/>
        </w:rPr>
        <w:lastRenderedPageBreak/>
        <w:t>Заключение</w:t>
      </w:r>
    </w:p>
    <w:p w:rsidR="00447CC4" w:rsidRPr="00D762E7" w:rsidRDefault="00447CC4" w:rsidP="00447CC4">
      <w:pPr>
        <w:rPr>
          <w:sz w:val="24"/>
          <w:szCs w:val="24"/>
          <w:lang w:val="ru-RU"/>
        </w:rPr>
      </w:pPr>
    </w:p>
    <w:p w:rsidR="00B879DE" w:rsidRDefault="00B879DE" w:rsidP="000B75BE">
      <w:pPr>
        <w:tabs>
          <w:tab w:val="left" w:pos="9781"/>
          <w:tab w:val="left" w:pos="9923"/>
        </w:tabs>
        <w:suppressAutoHyphens/>
        <w:spacing w:line="360" w:lineRule="auto"/>
        <w:ind w:right="565" w:firstLine="567"/>
        <w:jc w:val="both"/>
        <w:rPr>
          <w:bCs/>
          <w:sz w:val="24"/>
          <w:szCs w:val="24"/>
          <w:lang w:val="ru-RU"/>
        </w:rPr>
      </w:pPr>
    </w:p>
    <w:p w:rsidR="004A2A77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Известно, что инвестиционная деятельность является ключевой для любого предприятия, целью которого является стратегическое развитие и максимизация прибыли. Но необходимо отметить, что в свете ухудшения экологической ситуации в мире, инвестирование в проекты, направленные на получение прибыли за счет экономии природных ресурсов и экологии окружающей среды являются приоритетными.</w:t>
      </w:r>
    </w:p>
    <w:p w:rsidR="004A2A77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Анализ предложенного инвестиционного проекта строительства УТЭЦ позволил сделать следующие выводы:</w:t>
      </w:r>
    </w:p>
    <w:p w:rsidR="004A2A77" w:rsidRPr="007E3C56" w:rsidRDefault="004A2A77" w:rsidP="004A2A77">
      <w:pPr>
        <w:suppressAutoHyphens/>
        <w:spacing w:line="360" w:lineRule="auto"/>
        <w:ind w:left="709" w:right="423"/>
        <w:jc w:val="both"/>
        <w:rPr>
          <w:sz w:val="24"/>
          <w:szCs w:val="24"/>
          <w:lang w:val="ru-RU"/>
        </w:rPr>
      </w:pPr>
      <w:r w:rsidRPr="007E3C56">
        <w:rPr>
          <w:sz w:val="24"/>
          <w:szCs w:val="24"/>
          <w:lang w:val="ru-RU"/>
        </w:rPr>
        <w:t xml:space="preserve">Результаты </w:t>
      </w:r>
      <w:r>
        <w:rPr>
          <w:sz w:val="24"/>
          <w:szCs w:val="24"/>
          <w:lang w:val="ru-RU"/>
        </w:rPr>
        <w:t xml:space="preserve">сравнительного анализа </w:t>
      </w:r>
      <w:r w:rsidRPr="007E3C56">
        <w:rPr>
          <w:sz w:val="24"/>
          <w:szCs w:val="24"/>
          <w:lang w:val="ru-RU"/>
        </w:rPr>
        <w:t>плановой и фактической себестоимост</w:t>
      </w:r>
      <w:r>
        <w:rPr>
          <w:sz w:val="24"/>
          <w:szCs w:val="24"/>
          <w:lang w:val="ru-RU"/>
        </w:rPr>
        <w:t>и позволил выявить следующие направления экономии</w:t>
      </w:r>
      <w:proofErr w:type="gramStart"/>
      <w:r>
        <w:rPr>
          <w:sz w:val="24"/>
          <w:szCs w:val="24"/>
          <w:lang w:val="ru-RU"/>
        </w:rPr>
        <w:t>:</w:t>
      </w:r>
      <w:r w:rsidRPr="007E3C56">
        <w:rPr>
          <w:sz w:val="24"/>
          <w:szCs w:val="24"/>
          <w:lang w:val="ru-RU"/>
        </w:rPr>
        <w:t>:</w:t>
      </w:r>
      <w:proofErr w:type="gramEnd"/>
    </w:p>
    <w:p w:rsidR="004A2A77" w:rsidRPr="00D762E7" w:rsidRDefault="004A2A77" w:rsidP="004A2A77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proofErr w:type="spellStart"/>
      <w:r w:rsidRPr="00D762E7">
        <w:rPr>
          <w:sz w:val="24"/>
          <w:szCs w:val="24"/>
          <w:lang w:val="ru-RU"/>
        </w:rPr>
        <w:t>теплоэнергия</w:t>
      </w:r>
      <w:proofErr w:type="spellEnd"/>
      <w:r w:rsidRPr="00D762E7">
        <w:rPr>
          <w:sz w:val="24"/>
          <w:szCs w:val="24"/>
          <w:lang w:val="ru-RU"/>
        </w:rPr>
        <w:t xml:space="preserve"> в горячей воде экономия 952,6 тыс. руб.;</w:t>
      </w:r>
    </w:p>
    <w:p w:rsidR="004A2A77" w:rsidRPr="00D762E7" w:rsidRDefault="004A2A77" w:rsidP="004A2A77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proofErr w:type="spellStart"/>
      <w:r w:rsidRPr="00D762E7">
        <w:rPr>
          <w:sz w:val="24"/>
          <w:szCs w:val="24"/>
          <w:lang w:val="ru-RU"/>
        </w:rPr>
        <w:t>теплоэнергия</w:t>
      </w:r>
      <w:proofErr w:type="spellEnd"/>
      <w:r w:rsidRPr="00D762E7">
        <w:rPr>
          <w:sz w:val="24"/>
          <w:szCs w:val="24"/>
          <w:lang w:val="ru-RU"/>
        </w:rPr>
        <w:t xml:space="preserve"> в паре экономия 1278,8 тыс. руб.;</w:t>
      </w:r>
    </w:p>
    <w:p w:rsidR="004A2A77" w:rsidRPr="00D762E7" w:rsidRDefault="004A2A77" w:rsidP="004A2A77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электроэнергия экономия 6904,1 тыс. руб.;</w:t>
      </w:r>
    </w:p>
    <w:p w:rsidR="004A2A77" w:rsidRPr="00D762E7" w:rsidRDefault="004A2A77" w:rsidP="004A2A77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обессоленная вода экономия 13,8 тыс. руб.;</w:t>
      </w:r>
    </w:p>
    <w:p w:rsidR="004A2A77" w:rsidRDefault="004A2A77" w:rsidP="004A2A77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доменное дутье для д. </w:t>
      </w:r>
      <w:proofErr w:type="spellStart"/>
      <w:r w:rsidRPr="00D762E7">
        <w:rPr>
          <w:sz w:val="24"/>
          <w:szCs w:val="24"/>
          <w:lang w:val="ru-RU"/>
        </w:rPr>
        <w:t>ц</w:t>
      </w:r>
      <w:proofErr w:type="spellEnd"/>
      <w:r w:rsidRPr="00D762E7">
        <w:rPr>
          <w:sz w:val="24"/>
          <w:szCs w:val="24"/>
          <w:lang w:val="ru-RU"/>
        </w:rPr>
        <w:t xml:space="preserve"> N 2 экономия 3520,6 тыс. руб.;</w:t>
      </w:r>
    </w:p>
    <w:p w:rsidR="004A2A77" w:rsidRPr="006313F9" w:rsidRDefault="004A2A77" w:rsidP="004A2A77">
      <w:pPr>
        <w:pStyle w:val="a5"/>
        <w:numPr>
          <w:ilvl w:val="0"/>
          <w:numId w:val="15"/>
        </w:numPr>
        <w:suppressAutoHyphens/>
        <w:spacing w:line="360" w:lineRule="auto"/>
        <w:ind w:right="423"/>
        <w:jc w:val="both"/>
        <w:rPr>
          <w:sz w:val="24"/>
          <w:szCs w:val="24"/>
          <w:lang w:val="ru-RU"/>
        </w:rPr>
      </w:pPr>
      <w:r w:rsidRPr="006313F9">
        <w:rPr>
          <w:sz w:val="24"/>
          <w:szCs w:val="24"/>
          <w:lang w:val="ru-RU"/>
        </w:rPr>
        <w:t>сжатый воздух перерасход 950,0 тыс. руб.</w:t>
      </w:r>
    </w:p>
    <w:p w:rsidR="004A2A77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В результате реализации проекта: </w:t>
      </w:r>
    </w:p>
    <w:p w:rsidR="004A2A77" w:rsidRPr="007E3C56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709"/>
        <w:jc w:val="both"/>
        <w:rPr>
          <w:rStyle w:val="SUBST"/>
          <w:b w:val="0"/>
          <w:bCs/>
          <w:i w:val="0"/>
          <w:sz w:val="24"/>
          <w:szCs w:val="24"/>
          <w:lang w:val="ru-RU"/>
        </w:rPr>
      </w:pPr>
      <w:r w:rsidRPr="007E3C56">
        <w:rPr>
          <w:bCs/>
          <w:sz w:val="24"/>
          <w:szCs w:val="24"/>
          <w:lang w:val="ru-RU"/>
        </w:rPr>
        <w:t xml:space="preserve">Чистый дисконтированный доход </w:t>
      </w:r>
      <w:r>
        <w:rPr>
          <w:bCs/>
          <w:sz w:val="24"/>
          <w:szCs w:val="24"/>
          <w:lang w:val="ru-RU"/>
        </w:rPr>
        <w:t xml:space="preserve">составил </w:t>
      </w:r>
      <m:oMath>
        <m:r>
          <m:rPr>
            <m:sty m:val="bi"/>
          </m:rPr>
          <w:rPr>
            <w:rFonts w:ascii="Cambria Math" w:hAnsi="Cambria Math"/>
            <w:lang w:val="ru-RU"/>
          </w:rPr>
          <m:t>2641831</m:t>
        </m:r>
      </m:oMath>
      <w:r w:rsidRPr="007E3C56">
        <w:rPr>
          <w:rStyle w:val="SUBST"/>
          <w:lang w:val="ru-RU"/>
        </w:rPr>
        <w:t xml:space="preserve"> руб.</w:t>
      </w:r>
    </w:p>
    <w:p w:rsidR="004A2A77" w:rsidRPr="007E3C56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709"/>
        <w:jc w:val="both"/>
        <w:rPr>
          <w:bCs/>
          <w:sz w:val="24"/>
          <w:szCs w:val="24"/>
          <w:lang w:val="ru-RU"/>
        </w:rPr>
      </w:pPr>
      <w:r w:rsidRPr="007E3C56">
        <w:rPr>
          <w:bCs/>
          <w:sz w:val="24"/>
          <w:szCs w:val="24"/>
          <w:lang w:val="ru-RU"/>
        </w:rPr>
        <w:t xml:space="preserve">Индекс рентабельности инвестиций </w:t>
      </w:r>
      <w:r>
        <w:rPr>
          <w:bCs/>
          <w:sz w:val="24"/>
          <w:szCs w:val="24"/>
          <w:lang w:val="ru-RU"/>
        </w:rPr>
        <w:t xml:space="preserve"> </w:t>
      </w:r>
      <w:r w:rsidRPr="007E3C56">
        <w:rPr>
          <w:bCs/>
          <w:sz w:val="24"/>
          <w:szCs w:val="24"/>
          <w:lang w:val="ru-RU"/>
        </w:rPr>
        <w:t>1,37</w:t>
      </w:r>
    </w:p>
    <w:p w:rsidR="004A2A77" w:rsidRPr="007E3C56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709"/>
        <w:jc w:val="both"/>
        <w:rPr>
          <w:bCs/>
          <w:sz w:val="24"/>
          <w:szCs w:val="24"/>
          <w:lang w:val="ru-RU"/>
        </w:rPr>
      </w:pPr>
      <w:r w:rsidRPr="007E3C56">
        <w:rPr>
          <w:bCs/>
          <w:sz w:val="24"/>
          <w:szCs w:val="24"/>
          <w:lang w:val="ru-RU"/>
        </w:rPr>
        <w:t>Норма рентабельности инвестиций (внутренняя норма доходности) составляет 24,8.</w:t>
      </w:r>
    </w:p>
    <w:p w:rsidR="004A2A77" w:rsidRPr="007E3C56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709"/>
        <w:jc w:val="both"/>
        <w:rPr>
          <w:bCs/>
          <w:sz w:val="24"/>
          <w:szCs w:val="24"/>
          <w:lang w:val="ru-RU"/>
        </w:rPr>
      </w:pPr>
      <w:r w:rsidRPr="007E3C56">
        <w:rPr>
          <w:bCs/>
          <w:sz w:val="24"/>
          <w:szCs w:val="24"/>
          <w:lang w:val="ru-RU"/>
        </w:rPr>
        <w:t>Срок окупаемости менее 5 лет</w:t>
      </w:r>
      <w:r>
        <w:rPr>
          <w:bCs/>
          <w:sz w:val="24"/>
          <w:szCs w:val="24"/>
          <w:lang w:val="ru-RU"/>
        </w:rPr>
        <w:t xml:space="preserve">. </w:t>
      </w:r>
      <w:proofErr w:type="gramStart"/>
      <w:r>
        <w:rPr>
          <w:bCs/>
          <w:sz w:val="24"/>
          <w:szCs w:val="24"/>
          <w:lang w:val="ru-RU"/>
        </w:rPr>
        <w:t>Следовательно</w:t>
      </w:r>
      <w:proofErr w:type="gramEnd"/>
      <w:r>
        <w:rPr>
          <w:bCs/>
          <w:sz w:val="24"/>
          <w:szCs w:val="24"/>
          <w:lang w:val="ru-RU"/>
        </w:rPr>
        <w:t xml:space="preserve"> предложенный проект экономически эффективен.</w:t>
      </w:r>
    </w:p>
    <w:p w:rsidR="004A2A77" w:rsidRPr="00D762E7" w:rsidRDefault="004A2A77" w:rsidP="004A2A77">
      <w:pPr>
        <w:tabs>
          <w:tab w:val="left" w:pos="9781"/>
          <w:tab w:val="left" w:pos="9923"/>
        </w:tabs>
        <w:suppressAutoHyphens/>
        <w:spacing w:line="360" w:lineRule="auto"/>
        <w:ind w:right="565" w:firstLine="709"/>
        <w:jc w:val="both"/>
        <w:rPr>
          <w:bCs/>
          <w:sz w:val="24"/>
          <w:szCs w:val="24"/>
          <w:lang w:val="ru-RU"/>
        </w:rPr>
      </w:pPr>
      <w:r w:rsidRPr="00D762E7">
        <w:rPr>
          <w:bCs/>
          <w:sz w:val="24"/>
          <w:szCs w:val="24"/>
          <w:lang w:val="ru-RU"/>
        </w:rPr>
        <w:t>Реализация комплекса мероприятий по снижению энергопотребления и оптимизации производственных затрат позволит в перспективе достичь показателя удельной энергоемкости стали, соответствующего уровню мировых лидеров черной металлургии.</w:t>
      </w:r>
    </w:p>
    <w:p w:rsidR="0083181A" w:rsidRDefault="008A378E" w:rsidP="0083181A">
      <w:pPr>
        <w:pageBreakBefore/>
        <w:widowControl w:val="0"/>
        <w:spacing w:line="36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Библиографический список</w:t>
      </w:r>
    </w:p>
    <w:p w:rsidR="000B75BE" w:rsidRPr="00A76D05" w:rsidRDefault="000B75BE" w:rsidP="008A378E">
      <w:pPr>
        <w:widowControl w:val="0"/>
        <w:spacing w:line="360" w:lineRule="auto"/>
        <w:jc w:val="center"/>
        <w:rPr>
          <w:b/>
          <w:sz w:val="24"/>
          <w:szCs w:val="24"/>
          <w:lang w:val="ru-RU"/>
        </w:rPr>
      </w:pPr>
    </w:p>
    <w:p w:rsidR="0083181A" w:rsidRPr="0083181A" w:rsidRDefault="00A76D05" w:rsidP="0083181A">
      <w:pPr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after="200" w:line="360" w:lineRule="auto"/>
        <w:ind w:left="709" w:hanging="349"/>
        <w:jc w:val="both"/>
        <w:rPr>
          <w:lang w:val="ru-RU"/>
        </w:rPr>
      </w:pPr>
      <w:r w:rsidRPr="00A76D05">
        <w:rPr>
          <w:sz w:val="24"/>
          <w:szCs w:val="24"/>
          <w:lang w:val="ru-RU"/>
        </w:rPr>
        <w:t xml:space="preserve"> </w:t>
      </w:r>
      <w:r w:rsidR="0083181A" w:rsidRPr="0083181A">
        <w:rPr>
          <w:sz w:val="24"/>
          <w:szCs w:val="24"/>
          <w:lang w:val="ru-RU"/>
        </w:rPr>
        <w:t>С</w:t>
      </w:r>
      <w:r w:rsidR="0083181A" w:rsidRPr="0083181A">
        <w:rPr>
          <w:lang w:val="ru-RU"/>
        </w:rPr>
        <w:t>амсонов, B.C. Экономика предприятий энергетического комплекса: Учеб</w:t>
      </w:r>
      <w:proofErr w:type="gramStart"/>
      <w:r w:rsidR="0083181A" w:rsidRPr="0083181A">
        <w:rPr>
          <w:lang w:val="ru-RU"/>
        </w:rPr>
        <w:t>.</w:t>
      </w:r>
      <w:proofErr w:type="gramEnd"/>
      <w:r w:rsidR="0083181A" w:rsidRPr="0083181A">
        <w:rPr>
          <w:lang w:val="ru-RU"/>
        </w:rPr>
        <w:t xml:space="preserve"> </w:t>
      </w:r>
      <w:proofErr w:type="gramStart"/>
      <w:r w:rsidR="0083181A" w:rsidRPr="0083181A">
        <w:rPr>
          <w:lang w:val="ru-RU"/>
        </w:rPr>
        <w:t>д</w:t>
      </w:r>
      <w:proofErr w:type="gramEnd"/>
      <w:r w:rsidR="0083181A" w:rsidRPr="0083181A">
        <w:rPr>
          <w:lang w:val="ru-RU"/>
        </w:rPr>
        <w:t xml:space="preserve">ля вузов / B.C. Самсонов, М.А. </w:t>
      </w:r>
      <w:proofErr w:type="spellStart"/>
      <w:r w:rsidR="0083181A" w:rsidRPr="0083181A">
        <w:rPr>
          <w:lang w:val="ru-RU"/>
        </w:rPr>
        <w:t>Вяткин</w:t>
      </w:r>
      <w:proofErr w:type="spellEnd"/>
      <w:r w:rsidR="0083181A" w:rsidRPr="0083181A">
        <w:rPr>
          <w:lang w:val="ru-RU"/>
        </w:rPr>
        <w:t xml:space="preserve"> — М.: </w:t>
      </w:r>
      <w:proofErr w:type="spellStart"/>
      <w:r w:rsidR="0083181A" w:rsidRPr="0083181A">
        <w:rPr>
          <w:lang w:val="ru-RU"/>
        </w:rPr>
        <w:t>Высш</w:t>
      </w:r>
      <w:proofErr w:type="spellEnd"/>
      <w:r w:rsidR="0083181A" w:rsidRPr="0083181A">
        <w:rPr>
          <w:lang w:val="ru-RU"/>
        </w:rPr>
        <w:t xml:space="preserve">. </w:t>
      </w:r>
      <w:proofErr w:type="spellStart"/>
      <w:r w:rsidR="0083181A" w:rsidRPr="0083181A">
        <w:rPr>
          <w:lang w:val="ru-RU"/>
        </w:rPr>
        <w:t>шк</w:t>
      </w:r>
      <w:proofErr w:type="spellEnd"/>
      <w:r w:rsidR="0083181A" w:rsidRPr="0083181A">
        <w:rPr>
          <w:lang w:val="ru-RU"/>
        </w:rPr>
        <w:t xml:space="preserve">., 2001. — 416 </w:t>
      </w:r>
      <w:proofErr w:type="gramStart"/>
      <w:r w:rsidR="0083181A" w:rsidRPr="0083181A">
        <w:rPr>
          <w:lang w:val="ru-RU"/>
        </w:rPr>
        <w:t>с</w:t>
      </w:r>
      <w:proofErr w:type="gramEnd"/>
      <w:r w:rsidR="0083181A" w:rsidRPr="0083181A">
        <w:rPr>
          <w:lang w:val="ru-RU"/>
        </w:rPr>
        <w:t>.</w:t>
      </w:r>
    </w:p>
    <w:p w:rsidR="0083181A" w:rsidRDefault="0083181A" w:rsidP="0083181A">
      <w:pPr>
        <w:pStyle w:val="a5"/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line="360" w:lineRule="auto"/>
        <w:ind w:left="709" w:hanging="349"/>
        <w:jc w:val="both"/>
        <w:rPr>
          <w:sz w:val="24"/>
          <w:szCs w:val="24"/>
          <w:lang w:val="ru-RU"/>
        </w:rPr>
      </w:pPr>
      <w:proofErr w:type="spellStart"/>
      <w:r w:rsidRPr="0083181A">
        <w:rPr>
          <w:sz w:val="24"/>
          <w:szCs w:val="24"/>
          <w:lang w:val="ru-RU"/>
        </w:rPr>
        <w:t>Ф</w:t>
      </w:r>
      <w:r w:rsidR="000B75BE" w:rsidRPr="00D762E7">
        <w:rPr>
          <w:sz w:val="24"/>
          <w:szCs w:val="24"/>
          <w:lang w:val="ru-RU"/>
        </w:rPr>
        <w:t>абоцци</w:t>
      </w:r>
      <w:proofErr w:type="spellEnd"/>
      <w:r w:rsidR="000B75BE" w:rsidRPr="00D762E7">
        <w:rPr>
          <w:sz w:val="24"/>
          <w:szCs w:val="24"/>
          <w:lang w:val="ru-RU"/>
        </w:rPr>
        <w:t xml:space="preserve"> Ф. Управление инвестициями: Пер. с англ. — М.: ИНФРА-М, 2000. — XXVIII, 932 с.</w:t>
      </w:r>
    </w:p>
    <w:p w:rsidR="0083181A" w:rsidRDefault="000B75BE" w:rsidP="0083181A">
      <w:pPr>
        <w:pStyle w:val="a5"/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line="360" w:lineRule="auto"/>
        <w:ind w:left="709" w:hanging="34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Экономика энергетики: учеб</w:t>
      </w:r>
      <w:proofErr w:type="gramStart"/>
      <w:r w:rsidRPr="00D762E7">
        <w:rPr>
          <w:sz w:val="24"/>
          <w:szCs w:val="24"/>
          <w:lang w:val="ru-RU"/>
        </w:rPr>
        <w:t>.</w:t>
      </w:r>
      <w:proofErr w:type="gramEnd"/>
      <w:r w:rsidRPr="00D762E7">
        <w:rPr>
          <w:sz w:val="24"/>
          <w:szCs w:val="24"/>
          <w:lang w:val="ru-RU"/>
        </w:rPr>
        <w:t xml:space="preserve"> </w:t>
      </w:r>
      <w:proofErr w:type="gramStart"/>
      <w:r w:rsidRPr="00D762E7">
        <w:rPr>
          <w:sz w:val="24"/>
          <w:szCs w:val="24"/>
          <w:lang w:val="ru-RU"/>
        </w:rPr>
        <w:t>п</w:t>
      </w:r>
      <w:proofErr w:type="gramEnd"/>
      <w:r w:rsidRPr="00D762E7">
        <w:rPr>
          <w:sz w:val="24"/>
          <w:szCs w:val="24"/>
          <w:lang w:val="ru-RU"/>
        </w:rPr>
        <w:t xml:space="preserve">особие / Н.В. Нагорная; Дальневосточный государственный технический университет. – Владивосток: Изд-во ДВГТУ, 2007. – 157 </w:t>
      </w:r>
      <w:proofErr w:type="gramStart"/>
      <w:r w:rsidRPr="00D762E7">
        <w:rPr>
          <w:sz w:val="24"/>
          <w:szCs w:val="24"/>
          <w:lang w:val="ru-RU"/>
        </w:rPr>
        <w:t>с</w:t>
      </w:r>
      <w:proofErr w:type="gramEnd"/>
      <w:r w:rsidRPr="00D762E7">
        <w:rPr>
          <w:sz w:val="24"/>
          <w:szCs w:val="24"/>
          <w:lang w:val="ru-RU"/>
        </w:rPr>
        <w:t xml:space="preserve">. </w:t>
      </w:r>
    </w:p>
    <w:p w:rsidR="0083181A" w:rsidRDefault="000B75BE" w:rsidP="0083181A">
      <w:pPr>
        <w:pStyle w:val="a5"/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line="360" w:lineRule="auto"/>
        <w:ind w:left="709" w:hanging="34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>Экономика энергетики: учеб</w:t>
      </w:r>
      <w:proofErr w:type="gramStart"/>
      <w:r w:rsidRPr="00D762E7">
        <w:rPr>
          <w:sz w:val="24"/>
          <w:szCs w:val="24"/>
          <w:lang w:val="ru-RU"/>
        </w:rPr>
        <w:t>.</w:t>
      </w:r>
      <w:proofErr w:type="gramEnd"/>
      <w:r w:rsidRPr="00D762E7">
        <w:rPr>
          <w:sz w:val="24"/>
          <w:szCs w:val="24"/>
          <w:lang w:val="ru-RU"/>
        </w:rPr>
        <w:t xml:space="preserve"> </w:t>
      </w:r>
      <w:proofErr w:type="gramStart"/>
      <w:r w:rsidRPr="00D762E7">
        <w:rPr>
          <w:sz w:val="24"/>
          <w:szCs w:val="24"/>
          <w:lang w:val="ru-RU"/>
        </w:rPr>
        <w:t>п</w:t>
      </w:r>
      <w:proofErr w:type="gramEnd"/>
      <w:r w:rsidRPr="00D762E7">
        <w:rPr>
          <w:sz w:val="24"/>
          <w:szCs w:val="24"/>
          <w:lang w:val="ru-RU"/>
        </w:rPr>
        <w:t xml:space="preserve">особие для вузов / Н.Д. </w:t>
      </w:r>
      <w:proofErr w:type="spellStart"/>
      <w:r w:rsidRPr="00D762E7">
        <w:rPr>
          <w:sz w:val="24"/>
          <w:szCs w:val="24"/>
          <w:lang w:val="ru-RU"/>
        </w:rPr>
        <w:t>Рогалев</w:t>
      </w:r>
      <w:proofErr w:type="spellEnd"/>
      <w:r w:rsidRPr="00D762E7">
        <w:rPr>
          <w:sz w:val="24"/>
          <w:szCs w:val="24"/>
          <w:lang w:val="ru-RU"/>
        </w:rPr>
        <w:t xml:space="preserve">, А.Г. Зубкова, И.В. </w:t>
      </w:r>
      <w:proofErr w:type="spellStart"/>
      <w:r w:rsidRPr="00D762E7">
        <w:rPr>
          <w:sz w:val="24"/>
          <w:szCs w:val="24"/>
          <w:lang w:val="ru-RU"/>
        </w:rPr>
        <w:t>Мастерова</w:t>
      </w:r>
      <w:proofErr w:type="spellEnd"/>
      <w:r w:rsidRPr="00D762E7">
        <w:rPr>
          <w:sz w:val="24"/>
          <w:szCs w:val="24"/>
          <w:lang w:val="ru-RU"/>
        </w:rPr>
        <w:t xml:space="preserve"> и др.; под ред. Н.Д. </w:t>
      </w:r>
      <w:proofErr w:type="spellStart"/>
      <w:r w:rsidRPr="00D762E7">
        <w:rPr>
          <w:sz w:val="24"/>
          <w:szCs w:val="24"/>
          <w:lang w:val="ru-RU"/>
        </w:rPr>
        <w:t>Рогалева</w:t>
      </w:r>
      <w:proofErr w:type="spellEnd"/>
      <w:r w:rsidRPr="00D762E7">
        <w:rPr>
          <w:sz w:val="24"/>
          <w:szCs w:val="24"/>
          <w:lang w:val="ru-RU"/>
        </w:rPr>
        <w:t xml:space="preserve">. – М.: Издательство МЭИ, 2005 г. – 288 </w:t>
      </w:r>
      <w:proofErr w:type="gramStart"/>
      <w:r w:rsidRPr="00D762E7">
        <w:rPr>
          <w:sz w:val="24"/>
          <w:szCs w:val="24"/>
          <w:lang w:val="ru-RU"/>
        </w:rPr>
        <w:t>с</w:t>
      </w:r>
      <w:proofErr w:type="gramEnd"/>
      <w:r w:rsidRPr="00D762E7">
        <w:rPr>
          <w:sz w:val="24"/>
          <w:szCs w:val="24"/>
          <w:lang w:val="ru-RU"/>
        </w:rPr>
        <w:t>.</w:t>
      </w:r>
    </w:p>
    <w:p w:rsidR="0083181A" w:rsidRDefault="00B03442" w:rsidP="0083181A">
      <w:pPr>
        <w:pStyle w:val="a5"/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line="360" w:lineRule="auto"/>
        <w:ind w:left="709" w:hanging="349"/>
        <w:jc w:val="both"/>
        <w:rPr>
          <w:sz w:val="24"/>
          <w:szCs w:val="24"/>
          <w:lang w:val="ru-RU"/>
        </w:rPr>
      </w:pPr>
      <w:r w:rsidRPr="00B03442">
        <w:rPr>
          <w:sz w:val="24"/>
          <w:szCs w:val="24"/>
          <w:lang w:val="ru-RU"/>
        </w:rPr>
        <w:t>Повышение инвестиционной привлекательности и инновационной активности предприятий электроэнергетики / Кононенко В.А. / Журнал «</w:t>
      </w:r>
      <w:proofErr w:type="spellStart"/>
      <w:r w:rsidRPr="00B03442">
        <w:rPr>
          <w:sz w:val="24"/>
          <w:szCs w:val="24"/>
          <w:lang w:val="ru-RU"/>
        </w:rPr>
        <w:t>Креативная</w:t>
      </w:r>
      <w:proofErr w:type="spellEnd"/>
      <w:r w:rsidRPr="00B03442">
        <w:rPr>
          <w:sz w:val="24"/>
          <w:szCs w:val="24"/>
          <w:lang w:val="ru-RU"/>
        </w:rPr>
        <w:t xml:space="preserve"> экономика» № 11 (23) за 2008 год, </w:t>
      </w:r>
      <w:proofErr w:type="spellStart"/>
      <w:proofErr w:type="gramStart"/>
      <w:r w:rsidRPr="00B03442">
        <w:rPr>
          <w:sz w:val="24"/>
          <w:szCs w:val="24"/>
          <w:lang w:val="ru-RU"/>
        </w:rPr>
        <w:t>c</w:t>
      </w:r>
      <w:proofErr w:type="gramEnd"/>
      <w:r w:rsidRPr="00B03442">
        <w:rPr>
          <w:sz w:val="24"/>
          <w:szCs w:val="24"/>
          <w:lang w:val="ru-RU"/>
        </w:rPr>
        <w:t>тр</w:t>
      </w:r>
      <w:proofErr w:type="spellEnd"/>
      <w:r w:rsidRPr="00B03442">
        <w:rPr>
          <w:sz w:val="24"/>
          <w:szCs w:val="24"/>
          <w:lang w:val="ru-RU"/>
        </w:rPr>
        <w:t>. 21-26.</w:t>
      </w:r>
    </w:p>
    <w:p w:rsidR="0083181A" w:rsidRDefault="00B03442" w:rsidP="0083181A">
      <w:pPr>
        <w:pStyle w:val="a5"/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line="360" w:lineRule="auto"/>
        <w:ind w:left="709" w:hanging="349"/>
        <w:jc w:val="both"/>
        <w:rPr>
          <w:sz w:val="24"/>
          <w:szCs w:val="24"/>
          <w:lang w:val="ru-RU"/>
        </w:rPr>
      </w:pPr>
      <w:r w:rsidRPr="00A76D05">
        <w:rPr>
          <w:sz w:val="24"/>
          <w:szCs w:val="24"/>
          <w:lang w:val="ru-RU"/>
        </w:rPr>
        <w:t>Материалы исследовательской практики в бюро экономики ФЛЦ ОАО «НЛМК»</w:t>
      </w:r>
    </w:p>
    <w:p w:rsidR="0083181A" w:rsidRDefault="00043171" w:rsidP="0083181A">
      <w:pPr>
        <w:pStyle w:val="a5"/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line="360" w:lineRule="auto"/>
        <w:ind w:left="709" w:hanging="349"/>
        <w:jc w:val="both"/>
        <w:rPr>
          <w:sz w:val="24"/>
          <w:szCs w:val="24"/>
          <w:lang w:val="ru-RU"/>
        </w:rPr>
      </w:pPr>
      <w:hyperlink r:id="rId28" w:history="1">
        <w:r w:rsidR="000B75BE" w:rsidRPr="00D762E7">
          <w:rPr>
            <w:rStyle w:val="a9"/>
            <w:sz w:val="24"/>
            <w:szCs w:val="24"/>
            <w:lang w:val="ru-RU"/>
          </w:rPr>
          <w:t>http://ara2011.nlmk.com/ru</w:t>
        </w:r>
      </w:hyperlink>
    </w:p>
    <w:p w:rsidR="0083181A" w:rsidRDefault="000B75BE" w:rsidP="0083181A">
      <w:pPr>
        <w:pStyle w:val="a5"/>
        <w:widowControl w:val="0"/>
        <w:numPr>
          <w:ilvl w:val="0"/>
          <w:numId w:val="19"/>
        </w:numPr>
        <w:tabs>
          <w:tab w:val="left" w:pos="709"/>
          <w:tab w:val="left" w:pos="9781"/>
          <w:tab w:val="left" w:pos="9923"/>
        </w:tabs>
        <w:spacing w:line="360" w:lineRule="auto"/>
        <w:ind w:left="709" w:hanging="349"/>
        <w:jc w:val="both"/>
        <w:rPr>
          <w:sz w:val="24"/>
          <w:szCs w:val="24"/>
          <w:lang w:val="ru-RU"/>
        </w:rPr>
      </w:pPr>
      <w:r w:rsidRPr="00D762E7">
        <w:rPr>
          <w:sz w:val="24"/>
          <w:szCs w:val="24"/>
          <w:lang w:val="ru-RU"/>
        </w:rPr>
        <w:t xml:space="preserve"> </w:t>
      </w:r>
      <w:hyperlink r:id="rId29" w:history="1">
        <w:r w:rsidRPr="00D762E7">
          <w:rPr>
            <w:rStyle w:val="a9"/>
            <w:sz w:val="24"/>
            <w:szCs w:val="24"/>
            <w:lang w:val="ru-RU"/>
          </w:rPr>
          <w:t>http://www.cenef.ru/file/Heat.pdf</w:t>
        </w:r>
      </w:hyperlink>
    </w:p>
    <w:p w:rsidR="000B75BE" w:rsidRPr="00D762E7" w:rsidRDefault="000B75BE" w:rsidP="00447CC4">
      <w:pPr>
        <w:rPr>
          <w:sz w:val="24"/>
          <w:szCs w:val="24"/>
          <w:lang w:val="ru-RU"/>
        </w:rPr>
      </w:pPr>
    </w:p>
    <w:p w:rsidR="000B75BE" w:rsidRPr="00D762E7" w:rsidRDefault="008A378E" w:rsidP="00447C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p w:rsidR="000B75BE" w:rsidRPr="00D762E7" w:rsidRDefault="000B75BE" w:rsidP="00447CC4">
      <w:pPr>
        <w:rPr>
          <w:sz w:val="24"/>
          <w:szCs w:val="24"/>
          <w:lang w:val="ru-RU"/>
        </w:rPr>
      </w:pPr>
    </w:p>
    <w:p w:rsidR="000B75BE" w:rsidRDefault="000B75BE" w:rsidP="00447CC4">
      <w:pPr>
        <w:rPr>
          <w:sz w:val="24"/>
          <w:szCs w:val="24"/>
          <w:lang w:val="ru-RU"/>
        </w:rPr>
      </w:pPr>
    </w:p>
    <w:p w:rsidR="00D45A1F" w:rsidRDefault="00D45A1F" w:rsidP="00447CC4">
      <w:pPr>
        <w:rPr>
          <w:sz w:val="24"/>
          <w:szCs w:val="24"/>
          <w:lang w:val="ru-RU"/>
        </w:rPr>
      </w:pPr>
    </w:p>
    <w:p w:rsidR="00D45A1F" w:rsidRDefault="00D45A1F" w:rsidP="00447CC4">
      <w:pPr>
        <w:rPr>
          <w:sz w:val="24"/>
          <w:szCs w:val="24"/>
          <w:lang w:val="ru-RU"/>
        </w:rPr>
      </w:pPr>
    </w:p>
    <w:p w:rsidR="00D45A1F" w:rsidRDefault="00D45A1F" w:rsidP="00447CC4">
      <w:pPr>
        <w:rPr>
          <w:sz w:val="24"/>
          <w:szCs w:val="24"/>
          <w:lang w:val="ru-RU"/>
        </w:rPr>
      </w:pPr>
    </w:p>
    <w:p w:rsidR="0045473E" w:rsidRDefault="0045473E" w:rsidP="00447CC4">
      <w:pPr>
        <w:rPr>
          <w:sz w:val="24"/>
          <w:szCs w:val="24"/>
          <w:lang w:val="ru-RU"/>
        </w:rPr>
        <w:sectPr w:rsidR="0045473E" w:rsidSect="00D64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tbl>
      <w:tblPr>
        <w:tblW w:w="5000" w:type="pct"/>
        <w:tblLook w:val="04A0"/>
      </w:tblPr>
      <w:tblGrid>
        <w:gridCol w:w="1760"/>
        <w:gridCol w:w="370"/>
        <w:gridCol w:w="565"/>
        <w:gridCol w:w="628"/>
        <w:gridCol w:w="628"/>
        <w:gridCol w:w="570"/>
        <w:gridCol w:w="1036"/>
        <w:gridCol w:w="931"/>
        <w:gridCol w:w="950"/>
        <w:gridCol w:w="628"/>
        <w:gridCol w:w="628"/>
        <w:gridCol w:w="2967"/>
        <w:gridCol w:w="544"/>
        <w:gridCol w:w="544"/>
        <w:gridCol w:w="545"/>
        <w:gridCol w:w="446"/>
        <w:gridCol w:w="502"/>
        <w:gridCol w:w="544"/>
      </w:tblGrid>
      <w:tr w:rsidR="0045473E" w:rsidRPr="001F507C" w:rsidTr="0045473E">
        <w:trPr>
          <w:trHeight w:val="405"/>
        </w:trPr>
        <w:tc>
          <w:tcPr>
            <w:tcW w:w="243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bookmarkStart w:id="2" w:name="RANGE!A1:R25"/>
          </w:p>
          <w:p w:rsidR="0045473E" w:rsidRDefault="0045473E" w:rsidP="0045473E">
            <w:pPr>
              <w:jc w:val="right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Анализ себестоимости </w:t>
            </w:r>
            <w:proofErr w:type="spellStart"/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теплоэнергии</w:t>
            </w:r>
            <w:proofErr w:type="spellEnd"/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 в горячей воде </w:t>
            </w:r>
            <w:bookmarkEnd w:id="2"/>
          </w:p>
        </w:tc>
        <w:tc>
          <w:tcPr>
            <w:tcW w:w="1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за январь 2012 года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3366FF"/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1F507C" w:rsidTr="0045473E">
        <w:trPr>
          <w:trHeight w:val="48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Выработка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40846,300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ГКЛ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МВЗ  1012210001</w:t>
            </w:r>
          </w:p>
        </w:tc>
      </w:tr>
      <w:tr w:rsidR="0045473E" w:rsidRPr="001F507C" w:rsidTr="0045473E">
        <w:trPr>
          <w:trHeight w:val="330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color w:val="0000FF"/>
                <w:sz w:val="16"/>
                <w:szCs w:val="16"/>
                <w:lang w:val="ru-RU"/>
              </w:rPr>
              <w:t>Отпуск ТСЦ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37737,300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ГКЛ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1F507C" w:rsidTr="0045473E">
        <w:trPr>
          <w:trHeight w:val="315"/>
        </w:trPr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57AF0" w:rsidTr="0045473E">
        <w:trPr>
          <w:trHeight w:val="315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Абсолютные значения по плану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 xml:space="preserve"> тыс.руб.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По плану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27528,0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Гкал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Фактический расход по плановым ценам  (9*4)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 xml:space="preserve">Факт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Отклонения ( экономия - ; перерасход + ) тыс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уб..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57AF0" w:rsidTr="0045473E">
        <w:trPr>
          <w:trHeight w:val="30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на единицу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 xml:space="preserve">на фактический объем 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9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За счет норм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за счет цен своего производства</w:t>
            </w:r>
          </w:p>
        </w:tc>
      </w:tr>
      <w:tr w:rsidR="0045473E" w:rsidRPr="00657AF0" w:rsidTr="0045473E">
        <w:trPr>
          <w:trHeight w:val="30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ыс.руб</w:t>
            </w:r>
            <w:proofErr w:type="spellEnd"/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Количество (9-6)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Сумма (9-7),тыс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уб.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 xml:space="preserve"> в том </w:t>
            </w:r>
            <w:proofErr w:type="spellStart"/>
            <w:r w:rsidRPr="001F507C">
              <w:rPr>
                <w:sz w:val="16"/>
                <w:szCs w:val="16"/>
                <w:lang w:val="ru-RU"/>
              </w:rPr>
              <w:t>числе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1F507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1F507C" w:rsidTr="0045473E">
        <w:trPr>
          <w:trHeight w:val="30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1F507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ыс.руб</w:t>
            </w:r>
            <w:proofErr w:type="spellEnd"/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нормы расхода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абсолютные отклонения (11-2)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изменение объема (2-7)</w:t>
            </w: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1F507C" w:rsidTr="0045473E">
        <w:trPr>
          <w:trHeight w:val="30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1F507C" w:rsidTr="0045473E">
        <w:trPr>
          <w:trHeight w:val="129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1F507C" w:rsidTr="0045473E">
        <w:trPr>
          <w:trHeight w:val="33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19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i/>
                <w:iCs/>
                <w:sz w:val="16"/>
                <w:szCs w:val="16"/>
                <w:lang w:val="ru-RU"/>
              </w:rPr>
              <w:t>Энергетические  затраты: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2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теплоэнергия</w:t>
            </w:r>
            <w:proofErr w:type="spellEnd"/>
            <w:r w:rsidRPr="001F507C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F507C">
              <w:rPr>
                <w:sz w:val="16"/>
                <w:szCs w:val="16"/>
                <w:lang w:val="ru-RU"/>
              </w:rPr>
              <w:t>паре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,Г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кал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473,98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473,98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40846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19360,3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19360,3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40846,3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468,79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19148,2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-212,1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-212,1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электроэнергия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.кВтч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0,0490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1163,16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57,00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2328,0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1710,8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1470,852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1079,36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1587,6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-740,5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-530,1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-617,2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-617,2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-123,2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sz w:val="16"/>
                <w:szCs w:val="16"/>
                <w:lang w:val="ru-RU"/>
              </w:rPr>
              <w:t xml:space="preserve">  Итого: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530,98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21688,4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21071,1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1F507C">
              <w:rPr>
                <w:b/>
                <w:bCs/>
                <w:sz w:val="16"/>
                <w:szCs w:val="16"/>
                <w:lang w:val="ru-RU"/>
              </w:rPr>
              <w:t>20735,8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-952,6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-617,2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-617,2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-335,4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Расходы на оплату труда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Единый социальный налог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57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lastRenderedPageBreak/>
              <w:t>Отчисление на соцстрах от несчастных случаев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Расходы на ремонт  ОС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1F507C">
              <w:rPr>
                <w:sz w:val="16"/>
                <w:szCs w:val="16"/>
                <w:lang w:val="ru-RU"/>
              </w:rPr>
              <w:t>Внутриком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еремещ.грузов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Содержание ОС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Амортизация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Прочие  расходы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Цеховая себестоимость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530,98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21688,4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40846,3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507,65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20735,8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-952,6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-617,2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-617,2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1F507C">
              <w:rPr>
                <w:color w:val="000000"/>
                <w:sz w:val="16"/>
                <w:szCs w:val="16"/>
                <w:lang w:val="ru-RU"/>
              </w:rPr>
              <w:t>-335,4</w:t>
            </w:r>
          </w:p>
        </w:tc>
      </w:tr>
      <w:tr w:rsidR="0045473E" w:rsidRPr="001F507C" w:rsidTr="0045473E">
        <w:trPr>
          <w:trHeight w:val="499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 xml:space="preserve">Отклонения на </w:t>
            </w:r>
            <w:proofErr w:type="spellStart"/>
            <w:r w:rsidRPr="001F507C">
              <w:rPr>
                <w:sz w:val="16"/>
                <w:szCs w:val="16"/>
                <w:lang w:val="ru-RU"/>
              </w:rPr>
              <w:t>единицу</w:t>
            </w:r>
            <w:proofErr w:type="gramStart"/>
            <w:r w:rsidRPr="001F507C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1F507C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1F507C">
              <w:rPr>
                <w:sz w:val="16"/>
                <w:szCs w:val="16"/>
                <w:lang w:val="ru-RU"/>
              </w:rPr>
              <w:t>./Гкал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-23,33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-15,12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-15,12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1F507C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1F507C">
              <w:rPr>
                <w:sz w:val="16"/>
                <w:szCs w:val="16"/>
                <w:lang w:val="ru-RU"/>
              </w:rPr>
              <w:t>-8,21</w:t>
            </w:r>
          </w:p>
        </w:tc>
      </w:tr>
    </w:tbl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jc w:val="center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tbl>
      <w:tblPr>
        <w:tblW w:w="5011" w:type="pct"/>
        <w:tblInd w:w="-34" w:type="dxa"/>
        <w:tblLook w:val="04A0"/>
      </w:tblPr>
      <w:tblGrid>
        <w:gridCol w:w="2016"/>
        <w:gridCol w:w="500"/>
        <w:gridCol w:w="563"/>
        <w:gridCol w:w="753"/>
        <w:gridCol w:w="627"/>
        <w:gridCol w:w="595"/>
        <w:gridCol w:w="690"/>
        <w:gridCol w:w="929"/>
        <w:gridCol w:w="690"/>
        <w:gridCol w:w="690"/>
        <w:gridCol w:w="1335"/>
        <w:gridCol w:w="721"/>
        <w:gridCol w:w="690"/>
        <w:gridCol w:w="627"/>
        <w:gridCol w:w="627"/>
        <w:gridCol w:w="575"/>
        <w:gridCol w:w="543"/>
        <w:gridCol w:w="480"/>
        <w:gridCol w:w="669"/>
        <w:gridCol w:w="500"/>
      </w:tblGrid>
      <w:tr w:rsidR="0045473E" w:rsidRPr="006013D0" w:rsidTr="0045473E">
        <w:trPr>
          <w:trHeight w:val="405"/>
        </w:trPr>
        <w:tc>
          <w:tcPr>
            <w:tcW w:w="26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bookmarkStart w:id="3" w:name="RANGE!A1:T32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Анализ себестоимости </w:t>
            </w:r>
            <w:proofErr w:type="spellStart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теплоэнергии</w:t>
            </w:r>
            <w:proofErr w:type="spellEnd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 в паре </w:t>
            </w:r>
            <w:bookmarkEnd w:id="3"/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за январь 2012 года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60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Выработка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273 252,0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Гкал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МВЗ  1012210002</w:t>
            </w:r>
          </w:p>
        </w:tc>
      </w:tr>
      <w:tr w:rsidR="0045473E" w:rsidRPr="006013D0" w:rsidTr="0045473E">
        <w:trPr>
          <w:trHeight w:val="315"/>
        </w:trPr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Отпуск ТСЦ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7 883,9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Гкал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57AF0" w:rsidTr="0045473E">
        <w:trPr>
          <w:trHeight w:val="315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Наименование статей затрат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Абсолютные значения по плану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тыс.руб.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 плану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267513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Гкал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Фактический расход по плановым ценам  (9*4)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Факт </w:t>
            </w:r>
          </w:p>
        </w:tc>
        <w:tc>
          <w:tcPr>
            <w:tcW w:w="19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                                         Отклонени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я(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экономия -,перерасход +),тыс.руб.</w:t>
            </w:r>
          </w:p>
        </w:tc>
      </w:tr>
      <w:tr w:rsidR="0045473E" w:rsidRPr="006013D0" w:rsidTr="0045473E">
        <w:trPr>
          <w:trHeight w:val="30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 единицу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на фактический объем 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за счет норм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  За счет цен</w:t>
            </w:r>
          </w:p>
        </w:tc>
      </w:tr>
      <w:tr w:rsidR="0045473E" w:rsidRPr="006013D0" w:rsidTr="0045473E">
        <w:trPr>
          <w:trHeight w:val="30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кол-во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2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за счет норм</w:t>
            </w: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кол-во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Всего (11-7)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 (9-6)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Сумм(8-7)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нормы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Состав 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заданного</w:t>
            </w:r>
            <w:proofErr w:type="gramEnd"/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абсолютные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отк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.(11-2)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изменение объема (2-7)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своего производства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покупных цен</w:t>
            </w:r>
          </w:p>
        </w:tc>
      </w:tr>
      <w:tr w:rsidR="0045473E" w:rsidRPr="006013D0" w:rsidTr="0045473E">
        <w:trPr>
          <w:trHeight w:val="30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105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20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t>Материалы: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обессоленная вода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.м3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620654,96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17,262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7,600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4716,9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27364,1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44,089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36920,34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1627,8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-3089,1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36,489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22647,2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22647,2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-25736,3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t>Топливо: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газ природный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3приведенный.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0,0489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3279,86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160,269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13352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43793,8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57103,5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17410,33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3295,59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57377,4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13583,5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4058,332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13309,7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1072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12238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273,9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газ доменный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3приведенный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0,7083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358,99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254,287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193555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69484,4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59930,1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166941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356,88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5A5A5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59578,4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-9906,1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-26614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-9554,3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1094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-10649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-351,7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6013D0">
              <w:rPr>
                <w:b/>
                <w:bCs/>
                <w:sz w:val="16"/>
                <w:szCs w:val="16"/>
                <w:lang w:val="ru-RU"/>
              </w:rPr>
              <w:t>Итого</w:t>
            </w:r>
            <w:proofErr w:type="gramStart"/>
            <w:r w:rsidRPr="006013D0">
              <w:rPr>
                <w:b/>
                <w:bCs/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b/>
                <w:bCs/>
                <w:sz w:val="16"/>
                <w:szCs w:val="16"/>
                <w:lang w:val="ru-RU"/>
              </w:rPr>
              <w:t>.у.т</w:t>
            </w:r>
            <w:proofErr w:type="spellEnd"/>
            <w:r w:rsidRPr="006013D0">
              <w:rPr>
                <w:b/>
                <w:bCs/>
                <w:sz w:val="16"/>
                <w:szCs w:val="16"/>
                <w:lang w:val="ru-RU"/>
              </w:rPr>
              <w:t>.: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0,1570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2640,51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414,556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42900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113278,3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117033,6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43720,34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2675,09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116955,7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3677,5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3755,3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2165,7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1589,6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-351,7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273,9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lastRenderedPageBreak/>
              <w:t>Энергетические затраты: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электроэнергия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.кВтч</w:t>
            </w:r>
            <w:proofErr w:type="spellEnd"/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1163,16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34,895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8198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9535,1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8897,3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7649,289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1079,36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8256,3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-1278,8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-548,711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-637,8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-637,8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-641,0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Расходы на оплату труда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937,1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957,2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953,2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-20,1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Единый социальный налог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265,8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0,99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271,6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285,5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52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Отчисление на соцстрах от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несч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 Случаев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18,3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Расходы на ремонт  ОС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47,0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48,1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-48,1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-48,1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-47,0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Внутриком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еремещ.грузов</w:t>
            </w:r>
            <w:proofErr w:type="spellEnd"/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Содержание ОС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20,5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21,0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-21,0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-20,5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Амортизация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Затраты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подгот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.и</w:t>
            </w:r>
            <w:proofErr w:type="spellEnd"/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освоение пр.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607,9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2,27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620,8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-620,8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-620,8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-607,9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-12,9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Прочие  расходы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44,9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45,9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-45,7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-45,7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-44,7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Цеховая себестоимость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473,98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129516,3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273252,0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468,79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128096,8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-1419,5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3026,3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24175,1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1589,6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-687,0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-42,1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-26729,0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273,9</w:t>
            </w:r>
          </w:p>
        </w:tc>
      </w:tr>
      <w:tr w:rsidR="0045473E" w:rsidRPr="006013D0" w:rsidTr="0045473E">
        <w:trPr>
          <w:trHeight w:val="70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Отклонения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единицу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./Гкал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91,62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88,47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5,82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-2,51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-97,82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1,00</w:t>
            </w:r>
          </w:p>
        </w:tc>
      </w:tr>
    </w:tbl>
    <w:p w:rsidR="0045473E" w:rsidRDefault="0045473E" w:rsidP="0045473E">
      <w:pPr>
        <w:spacing w:after="200" w:line="276" w:lineRule="auto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spacing w:after="200" w:line="276" w:lineRule="auto"/>
        <w:rPr>
          <w:sz w:val="28"/>
          <w:szCs w:val="28"/>
          <w:lang w:val="ru-RU"/>
        </w:rPr>
      </w:pPr>
    </w:p>
    <w:p w:rsidR="00A77A39" w:rsidRDefault="00A77A39" w:rsidP="0045473E">
      <w:pPr>
        <w:tabs>
          <w:tab w:val="left" w:pos="12645"/>
          <w:tab w:val="right" w:pos="14570"/>
        </w:tabs>
        <w:spacing w:after="200" w:line="276" w:lineRule="auto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12645"/>
          <w:tab w:val="right" w:pos="14570"/>
        </w:tabs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3</w:t>
      </w:r>
    </w:p>
    <w:tbl>
      <w:tblPr>
        <w:tblW w:w="5000" w:type="pct"/>
        <w:tblLook w:val="04A0"/>
      </w:tblPr>
      <w:tblGrid>
        <w:gridCol w:w="1882"/>
        <w:gridCol w:w="2061"/>
        <w:gridCol w:w="505"/>
        <w:gridCol w:w="584"/>
        <w:gridCol w:w="689"/>
        <w:gridCol w:w="610"/>
        <w:gridCol w:w="610"/>
        <w:gridCol w:w="809"/>
        <w:gridCol w:w="610"/>
        <w:gridCol w:w="930"/>
        <w:gridCol w:w="637"/>
        <w:gridCol w:w="742"/>
        <w:gridCol w:w="665"/>
        <w:gridCol w:w="541"/>
        <w:gridCol w:w="541"/>
        <w:gridCol w:w="400"/>
        <w:gridCol w:w="541"/>
        <w:gridCol w:w="488"/>
        <w:gridCol w:w="541"/>
        <w:gridCol w:w="400"/>
      </w:tblGrid>
      <w:tr w:rsidR="0045473E" w:rsidRPr="006013D0" w:rsidTr="0045473E">
        <w:trPr>
          <w:trHeight w:val="405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bookmarkStart w:id="4" w:name="RANGE!A1:T39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  <w:bookmarkEnd w:id="4"/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Анализ себестоимости электроэнергии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за январь 2012 года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3366FF"/>
                <w:sz w:val="16"/>
                <w:szCs w:val="16"/>
                <w:lang w:val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465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3366FF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7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Выработка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103 651,985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тыс</w:t>
            </w:r>
            <w:proofErr w:type="gramStart"/>
            <w:r w:rsidRPr="006013D0">
              <w:rPr>
                <w:b/>
                <w:bCs/>
                <w:sz w:val="16"/>
                <w:szCs w:val="16"/>
                <w:lang w:val="ru-RU"/>
              </w:rPr>
              <w:t>.к</w:t>
            </w:r>
            <w:proofErr w:type="gramEnd"/>
            <w:r w:rsidRPr="006013D0">
              <w:rPr>
                <w:b/>
                <w:bCs/>
                <w:sz w:val="16"/>
                <w:szCs w:val="16"/>
                <w:lang w:val="ru-RU"/>
              </w:rPr>
              <w:t>Втч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МВЗ   1012210003</w:t>
            </w:r>
          </w:p>
        </w:tc>
      </w:tr>
      <w:tr w:rsidR="0045473E" w:rsidRPr="006013D0" w:rsidTr="0045473E">
        <w:trPr>
          <w:trHeight w:val="36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3366FF"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Отпуск  ЦЭЛС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92 190,311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тыс</w:t>
            </w:r>
            <w:proofErr w:type="gramStart"/>
            <w:r w:rsidRPr="006013D0">
              <w:rPr>
                <w:b/>
                <w:bCs/>
                <w:sz w:val="16"/>
                <w:szCs w:val="16"/>
                <w:lang w:val="ru-RU"/>
              </w:rPr>
              <w:t>.к</w:t>
            </w:r>
            <w:proofErr w:type="gramEnd"/>
            <w:r w:rsidRPr="006013D0">
              <w:rPr>
                <w:b/>
                <w:bCs/>
                <w:sz w:val="16"/>
                <w:szCs w:val="16"/>
                <w:lang w:val="ru-RU"/>
              </w:rPr>
              <w:t>Втч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210"/>
        </w:trPr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57AF0" w:rsidTr="0045473E">
        <w:trPr>
          <w:trHeight w:val="345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Наименование статей затрат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Абсолютные значения по плану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тыс.руб.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 плану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98 952,000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т. кВтч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Фактический расход по плановым ценам  (9*4)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Факт </w:t>
            </w:r>
          </w:p>
        </w:tc>
        <w:tc>
          <w:tcPr>
            <w:tcW w:w="18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Отклонения ( экономия - &lt;перерасход + )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уб.</w:t>
            </w:r>
          </w:p>
        </w:tc>
      </w:tr>
      <w:tr w:rsidR="0045473E" w:rsidRPr="006013D0" w:rsidTr="0045473E">
        <w:trPr>
          <w:trHeight w:val="30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 единицу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на фактический объем 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за счет норм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  За счет цен</w:t>
            </w:r>
          </w:p>
        </w:tc>
      </w:tr>
      <w:tr w:rsidR="0045473E" w:rsidRPr="006013D0" w:rsidTr="0045473E">
        <w:trPr>
          <w:trHeight w:val="30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кол-во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 том числе</w:t>
            </w: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кол-во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Всего (11-7)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 (9-6)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Сумм(8-7)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нормы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Состав 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заданного</w:t>
            </w:r>
            <w:proofErr w:type="gramEnd"/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абсолютные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отк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.(11-2)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изменение объема (2-7)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своего производства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покупных цен</w:t>
            </w:r>
          </w:p>
        </w:tc>
      </w:tr>
      <w:tr w:rsidR="0045473E" w:rsidRPr="006013D0" w:rsidTr="0045473E">
        <w:trPr>
          <w:trHeight w:val="30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1035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20</w:t>
            </w:r>
          </w:p>
        </w:tc>
      </w:tr>
      <w:tr w:rsidR="0045473E" w:rsidRPr="006013D0" w:rsidTr="0045473E">
        <w:trPr>
          <w:trHeight w:val="169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Материалы: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161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both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249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t>Итого материалы: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i/>
                <w:iCs/>
                <w:sz w:val="16"/>
                <w:szCs w:val="16"/>
                <w:lang w:val="ru-RU"/>
              </w:rPr>
              <w:t>строительно-монтаж</w:t>
            </w:r>
            <w:proofErr w:type="gramStart"/>
            <w:r w:rsidRPr="006013D0">
              <w:rPr>
                <w:i/>
                <w:iCs/>
                <w:sz w:val="16"/>
                <w:szCs w:val="16"/>
                <w:lang w:val="ru-RU"/>
              </w:rPr>
              <w:t>.р</w:t>
            </w:r>
            <w:proofErr w:type="gramEnd"/>
            <w:r w:rsidRPr="006013D0">
              <w:rPr>
                <w:i/>
                <w:iCs/>
                <w:sz w:val="16"/>
                <w:szCs w:val="16"/>
                <w:lang w:val="ru-RU"/>
              </w:rPr>
              <w:t>аботы</w:t>
            </w:r>
            <w:proofErr w:type="spellEnd"/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i/>
                <w:iCs/>
                <w:sz w:val="16"/>
                <w:szCs w:val="16"/>
                <w:lang w:val="ru-RU"/>
              </w:rPr>
              <w:t>Энергетические затраты: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электроэнергия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собств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.н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ужды,т.кВтч</w:t>
            </w:r>
            <w:proofErr w:type="spellEnd"/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0,0210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1 163,16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24,426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2176,692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2531,8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2531,8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2176,692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1079,36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2349,4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-182,4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-182,4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теплоэнергия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 в паре от ТЭЦ, Гкал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2,3200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473,98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1099,633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240472,6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113979,1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106418,8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224521,8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468,79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105 252,7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-8726,4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-15950,76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-7560,3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-7560,3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-1166,1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техническая вода, тыс. м3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1079,51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5,073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487,086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525,8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655,7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569,51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1151,26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655,7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129,8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82,424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129,8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газ природный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3пр.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97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газ доменный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3пр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lastRenderedPageBreak/>
              <w:t>теплоэнергия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гор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оде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, Гкал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1578,3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3109,00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507,65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1 578,3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1578,3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3109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1578,3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1578,3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вода ХОВ и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обессол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.,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ХОВ на теплосеть,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42509,98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0,465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вода питьевая,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7286,02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0,437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транспортировка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сточ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.в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од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, тыс.м3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273,6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34,23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7994,02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34,227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273,6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вода техническая, тыс. м3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 Всего: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1129,13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117036,8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111481,1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110132,6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-6904,1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-5555,7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-7430,5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1874,9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-1348,5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Расходы на оплату труда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1623,5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16,41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1700,6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1 225,4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-475,3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-475,3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-398,1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Единый социальный налог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460,3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4,65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482,2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367,1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-115,1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-115,1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-93,2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-21,9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55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Отчисление на соцстрах от несчастных случаев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30,8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32,3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-7,6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Расходы на ремонт  ОС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81,4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0,82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85,2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129,1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43,9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43,9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47,7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Внутриком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еремещ.грузов</w:t>
            </w:r>
            <w:proofErr w:type="spellEnd"/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5,5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Содержание ОС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35,5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37,2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-37,2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-37,2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-35,5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Амортизация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Прочие  расходы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77,0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0,78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80,6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-80,4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-80,4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-76,8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ПНР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1053,2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10,64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1103,3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-1103,3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-1103,3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-1053,2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-50,1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5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Цеховая себестоимость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1163,16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120563,7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103652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1079,36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111877,6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-8686,1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-7337,7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-7430,5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252,9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-160,1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-1348,5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 w:rsidRPr="006013D0"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</w:tr>
      <w:tr w:rsidR="0045473E" w:rsidRPr="006013D0" w:rsidTr="0045473E">
        <w:trPr>
          <w:trHeight w:val="525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Отклонения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единицу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./т.кВтч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-83,80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-71,69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2,44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-13,01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</w:tr>
    </w:tbl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</w:t>
      </w:r>
    </w:p>
    <w:tbl>
      <w:tblPr>
        <w:tblW w:w="5000" w:type="pct"/>
        <w:tblLook w:val="04A0"/>
      </w:tblPr>
      <w:tblGrid>
        <w:gridCol w:w="2075"/>
        <w:gridCol w:w="575"/>
        <w:gridCol w:w="509"/>
        <w:gridCol w:w="640"/>
        <w:gridCol w:w="770"/>
        <w:gridCol w:w="575"/>
        <w:gridCol w:w="640"/>
        <w:gridCol w:w="952"/>
        <w:gridCol w:w="971"/>
        <w:gridCol w:w="770"/>
        <w:gridCol w:w="575"/>
        <w:gridCol w:w="814"/>
        <w:gridCol w:w="488"/>
        <w:gridCol w:w="814"/>
        <w:gridCol w:w="575"/>
        <w:gridCol w:w="814"/>
        <w:gridCol w:w="814"/>
        <w:gridCol w:w="971"/>
        <w:gridCol w:w="444"/>
      </w:tblGrid>
      <w:tr w:rsidR="0045473E" w:rsidRPr="006013D0" w:rsidTr="0045473E">
        <w:trPr>
          <w:trHeight w:val="40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FF"/>
                <w:sz w:val="16"/>
                <w:szCs w:val="16"/>
                <w:lang w:val="ru-RU"/>
              </w:rPr>
            </w:pPr>
            <w:bookmarkStart w:id="5" w:name="RANGE!A1:S29"/>
            <w:r w:rsidRPr="006013D0">
              <w:rPr>
                <w:color w:val="0000FF"/>
                <w:sz w:val="16"/>
                <w:szCs w:val="16"/>
                <w:lang w:val="ru-RU"/>
              </w:rPr>
              <w:t> </w:t>
            </w:r>
            <w:bookmarkEnd w:id="5"/>
          </w:p>
        </w:tc>
        <w:tc>
          <w:tcPr>
            <w:tcW w:w="23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Анализ себестоимости обессоленной воды </w:t>
            </w: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за январь 2012 года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3366FF"/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49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FF"/>
                <w:sz w:val="16"/>
                <w:szCs w:val="16"/>
                <w:lang w:val="ru-RU"/>
              </w:rPr>
              <w:t>Выработк</w:t>
            </w: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54,947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тм3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МВЗ  1012210004</w:t>
            </w:r>
          </w:p>
        </w:tc>
      </w:tr>
      <w:tr w:rsidR="0045473E" w:rsidRPr="006013D0" w:rsidTr="0045473E">
        <w:trPr>
          <w:trHeight w:val="37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Отпуск ТСЦ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10,858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тм3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57AF0" w:rsidTr="0045473E">
        <w:trPr>
          <w:trHeight w:val="36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Наименование статей затрат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Абсолютные значения по плану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тыс.руб.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 плану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7,440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т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Фактический расход по плановым ценам  (9*4)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Факт </w:t>
            </w:r>
          </w:p>
        </w:tc>
        <w:tc>
          <w:tcPr>
            <w:tcW w:w="19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Отклонения ( экономия -; перерасход + ) 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уб.</w:t>
            </w:r>
          </w:p>
        </w:tc>
      </w:tr>
      <w:tr w:rsidR="0045473E" w:rsidRPr="006013D0" w:rsidTr="0045473E">
        <w:trPr>
          <w:trHeight w:val="30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 единицу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на фактический объем 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За счет норм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  За счет цен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0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</w:p>
        </w:tc>
        <w:tc>
          <w:tcPr>
            <w:tcW w:w="4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Всего (11-7)</w:t>
            </w:r>
          </w:p>
        </w:tc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 (9-6)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Сумм(8-7)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в том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числе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своего производства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покупных цен</w:t>
            </w:r>
          </w:p>
        </w:tc>
      </w:tr>
      <w:tr w:rsidR="0045473E" w:rsidRPr="006013D0" w:rsidTr="0045473E">
        <w:trPr>
          <w:trHeight w:val="255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</w:p>
        </w:tc>
        <w:tc>
          <w:tcPr>
            <w:tcW w:w="2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нормы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абсолютные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отк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.(11-2)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изменение объема (2-7)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105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3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20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t>Материалы: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Прочие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вспом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атериалы</w:t>
            </w:r>
            <w:proofErr w:type="spellEnd"/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250781,94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13779,7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-13779,7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-13779,7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-13779,7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вода техническая I подъема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1079,51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1727,22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87,915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94,9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148,4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137,457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1151,26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63,3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53,5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 Итого: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252509,16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13874,6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148,4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158,2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-13716,4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-13726,2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-13779,7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t>Энергетические затраты: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электроэнергия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.кВтч</w:t>
            </w:r>
            <w:proofErr w:type="spellEnd"/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3,000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1163,16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3489,48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191,7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191,7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164,841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1079,36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 Итого: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3489,48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191,7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191,7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177,9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Расходы на оплату труда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1299,6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174673,75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9597,8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1283,5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-8314,3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-8314,3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-16,1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-8298,2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45473E" w:rsidRPr="006013D0" w:rsidTr="0045473E">
        <w:trPr>
          <w:trHeight w:val="4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Единый социальный налог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368,7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49560,86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2723,2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384,5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-2338,8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-2338,8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-2354,5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8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lastRenderedPageBreak/>
              <w:t>Отчисл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. на соц. страхование от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несч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лучаев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 на пр-ве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3320,41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-158,1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-158,1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-157,7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Расходы на ремонт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осн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редств</w:t>
            </w:r>
            <w:proofErr w:type="spellEnd"/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65,1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8753,59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481,0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-481,0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-481,0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-65,1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-415,9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Внутриком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еремещ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 грузов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564,32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31,0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-31,0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-31,0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-26,8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Содержание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основн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редств</w:t>
            </w:r>
            <w:proofErr w:type="spellEnd"/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6047,68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332,3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-332,3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-332,3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-45,0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-287,3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Амортизация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Затраты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подгот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.и</w:t>
            </w:r>
            <w:proofErr w:type="spellEnd"/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освоение пр.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843,1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113316,37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6226,4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-6226,4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-6226,4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-843,1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-5383,3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Прочие  расходы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62,6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8419,39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462,6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-462,4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-462,4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-62,4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79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Цеховая себестоимость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620655,00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34103,1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54,947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36920,323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2028,7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-32074,5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-32070,5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53,5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-14800,3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-17323,7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-4,0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0,0</w:t>
            </w:r>
          </w:p>
        </w:tc>
      </w:tr>
      <w:tr w:rsidR="0045473E" w:rsidRPr="006013D0" w:rsidTr="0045473E">
        <w:trPr>
          <w:trHeight w:val="3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Отклонения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единицу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./т.м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-583734,67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-583662,73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973,32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-269355,33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-315280,72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-71,92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</w:tr>
    </w:tbl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5</w:t>
      </w:r>
    </w:p>
    <w:tbl>
      <w:tblPr>
        <w:tblW w:w="5000" w:type="pct"/>
        <w:tblLook w:val="04A0"/>
      </w:tblPr>
      <w:tblGrid>
        <w:gridCol w:w="2374"/>
        <w:gridCol w:w="558"/>
        <w:gridCol w:w="708"/>
        <w:gridCol w:w="897"/>
        <w:gridCol w:w="670"/>
        <w:gridCol w:w="594"/>
        <w:gridCol w:w="708"/>
        <w:gridCol w:w="1070"/>
        <w:gridCol w:w="984"/>
        <w:gridCol w:w="859"/>
        <w:gridCol w:w="708"/>
        <w:gridCol w:w="683"/>
        <w:gridCol w:w="683"/>
        <w:gridCol w:w="683"/>
        <w:gridCol w:w="683"/>
        <w:gridCol w:w="608"/>
        <w:gridCol w:w="557"/>
        <w:gridCol w:w="759"/>
      </w:tblGrid>
      <w:tr w:rsidR="0045473E" w:rsidRPr="006013D0" w:rsidTr="0045473E">
        <w:trPr>
          <w:trHeight w:val="360"/>
        </w:trPr>
        <w:tc>
          <w:tcPr>
            <w:tcW w:w="25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                     </w:t>
            </w:r>
            <w:bookmarkStart w:id="6" w:name="RANGE!A1:R31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Анализ себестоимости доменного дутья для д. </w:t>
            </w:r>
            <w:proofErr w:type="spellStart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ц</w:t>
            </w:r>
            <w:proofErr w:type="spellEnd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 N 2 </w:t>
            </w:r>
            <w:bookmarkEnd w:id="6"/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9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за январь 2012 года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555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Выработка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477572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    т</w:t>
            </w:r>
            <w:proofErr w:type="gramStart"/>
            <w:r w:rsidRPr="006013D0">
              <w:rPr>
                <w:b/>
                <w:bCs/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b/>
                <w:bCs/>
                <w:sz w:val="16"/>
                <w:szCs w:val="16"/>
                <w:vertAlign w:val="superscript"/>
                <w:lang w:val="ru-RU"/>
              </w:rPr>
              <w:t>3</w:t>
            </w: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пр.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МВЗ  1012210005</w:t>
            </w:r>
          </w:p>
        </w:tc>
      </w:tr>
      <w:tr w:rsidR="0045473E" w:rsidRPr="006013D0" w:rsidTr="0045473E">
        <w:trPr>
          <w:trHeight w:val="30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57AF0" w:rsidTr="0045473E">
        <w:trPr>
          <w:trHeight w:val="360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Наименование статей затрат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Абсолютные значения по плану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тыс.руб.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 плану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544767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т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Фактический расход по плановым ценам  (9*4)</w:t>
            </w:r>
          </w:p>
        </w:tc>
        <w:tc>
          <w:tcPr>
            <w:tcW w:w="8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Факт </w:t>
            </w:r>
          </w:p>
        </w:tc>
        <w:tc>
          <w:tcPr>
            <w:tcW w:w="15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Отклонения ( экономия -; перерасход + )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уб..</w:t>
            </w:r>
          </w:p>
        </w:tc>
      </w:tr>
      <w:tr w:rsidR="0045473E" w:rsidRPr="006013D0" w:rsidTr="0045473E">
        <w:trPr>
          <w:trHeight w:val="300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 единицу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на фактический объем 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За счет норм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покупных цен</w:t>
            </w:r>
          </w:p>
        </w:tc>
      </w:tr>
      <w:tr w:rsidR="0045473E" w:rsidRPr="00657AF0" w:rsidTr="0045473E">
        <w:trPr>
          <w:trHeight w:val="315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Всего (11-7)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 (9-6)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Сумм(8-7)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в том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числе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255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нормы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абсолютные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отк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.(11-2)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изменение объема (2-7)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1260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t>Энергетические затраты: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электроэнергия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.кВтч</w:t>
            </w:r>
            <w:proofErr w:type="spellEnd"/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0,04000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1 733,52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69,34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19103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33115,3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30773,3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17751,931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1684,96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29911,3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-3204,0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-1350,9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-2342,0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-2342,0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-861,998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активная мощность, МВт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149 809,05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9,21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4400,3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4141,2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27,643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146708,97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4055,5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-344,9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-1,731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-259,2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-259,2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-85,6959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теплоэнергия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 в паре,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Гкалл</w:t>
            </w:r>
            <w:proofErr w:type="spellEnd"/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660,11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628,33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-2,0066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-0,0475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вода ХОВ и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обессол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.,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40 850,00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38327,10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-0,0234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-0,07786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вода техническая 2 подъема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1 164,72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0,02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20,642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1136,22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23,5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13,44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-0,58822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техническая вода, т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1 079,51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-1,7665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азот 6 ата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азот 30 ата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.м3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8,475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2117,69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17,9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8,475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17,9474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  Итого: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78,59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37531,0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34940,8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34010,3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-3520,6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-2590,2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-2590,2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-930,46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Расходы на оплату труда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428,7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0,79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375,8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247,3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-128,5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-128,5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-181,4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Единый социальный налог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106,5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74,1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-32,4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-32,4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-47,4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54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Отчисл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. на соц. Страх. от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несч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лучаев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7,2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-2,5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-3,5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Расходы на ремонт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осн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редств</w:t>
            </w:r>
            <w:proofErr w:type="spellEnd"/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-18,6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-18,6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-21,5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Внутрикомб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еремещ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 грузов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1,4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Содержание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основн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редств</w:t>
            </w:r>
            <w:proofErr w:type="spellEnd"/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8,1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-8,1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-9,4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Амортизация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Затраты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подгот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.и</w:t>
            </w:r>
            <w:proofErr w:type="spellEnd"/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освоение пр.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278,1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243,6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-243,6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-243,6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-278,1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Прочие  расходы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20,2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17,7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-17,7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-17,7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-20,2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Цеховая себестоимость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80,22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38309,9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477572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71,90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34336,4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-3973,4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-3043,0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-2590,2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-562,8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110,0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-930,46</w:t>
            </w:r>
          </w:p>
        </w:tc>
      </w:tr>
      <w:tr w:rsidR="0045473E" w:rsidRPr="006013D0" w:rsidTr="0045473E">
        <w:trPr>
          <w:trHeight w:val="42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Отклонения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единицу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./т.м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6013D0">
              <w:rPr>
                <w:sz w:val="16"/>
                <w:szCs w:val="16"/>
                <w:lang w:val="ru-RU"/>
              </w:rPr>
              <w:t>пр.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-8,32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-6,37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-5,42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0,23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-1,95</w:t>
            </w:r>
          </w:p>
        </w:tc>
      </w:tr>
    </w:tbl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jc w:val="right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</w:pPr>
    </w:p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6</w:t>
      </w:r>
    </w:p>
    <w:tbl>
      <w:tblPr>
        <w:tblW w:w="5000" w:type="pct"/>
        <w:tblLook w:val="04A0"/>
      </w:tblPr>
      <w:tblGrid>
        <w:gridCol w:w="1932"/>
        <w:gridCol w:w="377"/>
        <w:gridCol w:w="568"/>
        <w:gridCol w:w="761"/>
        <w:gridCol w:w="568"/>
        <w:gridCol w:w="504"/>
        <w:gridCol w:w="568"/>
        <w:gridCol w:w="939"/>
        <w:gridCol w:w="697"/>
        <w:gridCol w:w="1351"/>
        <w:gridCol w:w="568"/>
        <w:gridCol w:w="2934"/>
        <w:gridCol w:w="408"/>
        <w:gridCol w:w="568"/>
        <w:gridCol w:w="569"/>
        <w:gridCol w:w="454"/>
        <w:gridCol w:w="472"/>
        <w:gridCol w:w="548"/>
      </w:tblGrid>
      <w:tr w:rsidR="0045473E" w:rsidRPr="006013D0" w:rsidTr="0045473E">
        <w:trPr>
          <w:trHeight w:val="405"/>
        </w:trPr>
        <w:tc>
          <w:tcPr>
            <w:tcW w:w="21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bookmarkStart w:id="7" w:name="RANGE!A1:R24"/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 xml:space="preserve">Анализ себестоимости сжатого воздуха </w:t>
            </w:r>
            <w:bookmarkEnd w:id="7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538ED5"/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color w:val="0000FF"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color w:val="0000FF"/>
                <w:sz w:val="16"/>
                <w:szCs w:val="16"/>
                <w:lang w:val="ru-RU"/>
              </w:rPr>
              <w:t>за январь 2012 года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538ED5"/>
                <w:sz w:val="16"/>
                <w:szCs w:val="16"/>
                <w:lang w:val="ru-RU"/>
              </w:rPr>
            </w:pPr>
            <w:r w:rsidRPr="006013D0">
              <w:rPr>
                <w:color w:val="538ED5"/>
                <w:sz w:val="16"/>
                <w:szCs w:val="16"/>
                <w:lang w:val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538ED5"/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538ED5"/>
                <w:sz w:val="16"/>
                <w:szCs w:val="16"/>
                <w:lang w:val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538ED5"/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538ED5"/>
                <w:sz w:val="16"/>
                <w:szCs w:val="16"/>
                <w:lang w:val="ru-RU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color w:val="538ED5"/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525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Выработка: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6878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  т</w:t>
            </w:r>
            <w:proofErr w:type="gramStart"/>
            <w:r w:rsidRPr="006013D0">
              <w:rPr>
                <w:b/>
                <w:bCs/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b/>
                <w:bCs/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МВЗ  1012210006</w:t>
            </w:r>
          </w:p>
        </w:tc>
      </w:tr>
      <w:tr w:rsidR="0045473E" w:rsidRPr="006013D0" w:rsidTr="0045473E">
        <w:trPr>
          <w:trHeight w:val="300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57AF0" w:rsidTr="0045473E">
        <w:trPr>
          <w:trHeight w:val="495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Наименование статей затрат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Абсолютные значения по плану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 xml:space="preserve"> тыс.руб.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 плану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13950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т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.м</w:t>
            </w:r>
            <w:proofErr w:type="gramEnd"/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Фактический расход по плановым ценам  (9*4)</w:t>
            </w:r>
          </w:p>
        </w:tc>
        <w:tc>
          <w:tcPr>
            <w:tcW w:w="7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Факт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Отклонения ( экономия - ;перерасход + ) тыс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уб.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300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на единицу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на фактический объем 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Всего (11-7)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Количество (9-6)</w:t>
            </w:r>
          </w:p>
        </w:tc>
        <w:tc>
          <w:tcPr>
            <w:tcW w:w="7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За счет норм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покупных цен</w:t>
            </w:r>
          </w:p>
        </w:tc>
      </w:tr>
      <w:tr w:rsidR="0045473E" w:rsidRPr="00657AF0" w:rsidTr="0045473E">
        <w:trPr>
          <w:trHeight w:val="300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цена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Сумм(8-7)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в том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числе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00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сумма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ыс.руб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нормы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абсолютные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отк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.(11-2)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изменение объема (2-7)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510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1155"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</w:p>
        </w:tc>
      </w:tr>
      <w:tr w:rsidR="0045473E" w:rsidRPr="006013D0" w:rsidTr="0045473E">
        <w:trPr>
          <w:trHeight w:val="36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19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i/>
                <w:iCs/>
                <w:sz w:val="16"/>
                <w:szCs w:val="16"/>
                <w:lang w:val="ru-RU"/>
              </w:rPr>
            </w:pPr>
            <w:r w:rsidRPr="006013D0">
              <w:rPr>
                <w:i/>
                <w:iCs/>
                <w:sz w:val="16"/>
                <w:szCs w:val="16"/>
                <w:lang w:val="ru-RU"/>
              </w:rPr>
              <w:t>Энергетические затраты: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                            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6013D0">
              <w:rPr>
                <w:rFonts w:ascii="Arial CYR" w:hAnsi="Arial CYR" w:cs="Arial CYR"/>
                <w:sz w:val="16"/>
                <w:szCs w:val="16"/>
                <w:lang w:val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электроэнергия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,т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.кВтч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0,0800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1733,52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138,68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550,2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953,9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1839,7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1061,225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1684,96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1788,1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834,3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511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885,8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885,8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-51,5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активная мощность, МВт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149809,05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18,43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0,846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247,6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1,653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146708,97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242,5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115,8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120,9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120,9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-5,1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 xml:space="preserve">  Итого: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157,11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1080,6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2087,3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2030,6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950,0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1006,7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1006,7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-56,7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Расходы на оплату труда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Единый социальный налог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51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Отчисл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. на соц. страхование от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несч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лучаев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 xml:space="preserve"> на пр-ве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lastRenderedPageBreak/>
              <w:t xml:space="preserve">Расходы на ремонт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осн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редств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proofErr w:type="spellStart"/>
            <w:r w:rsidRPr="006013D0">
              <w:rPr>
                <w:sz w:val="16"/>
                <w:szCs w:val="16"/>
                <w:lang w:val="ru-RU"/>
              </w:rPr>
              <w:t>Внутрикомб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.п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еремещ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 грузов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Содержание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основн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 средств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Амортизация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Прочие  расходы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</w:tr>
      <w:tr w:rsidR="0045473E" w:rsidRPr="006013D0" w:rsidTr="0045473E">
        <w:trPr>
          <w:trHeight w:val="42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Цеховая себестоимость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157,11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1080,6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6878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295,24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2030,6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950,0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1006,7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1006,7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0,0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b/>
                <w:bCs/>
                <w:sz w:val="16"/>
                <w:szCs w:val="16"/>
                <w:lang w:val="ru-RU"/>
              </w:rPr>
            </w:pPr>
            <w:r w:rsidRPr="006013D0">
              <w:rPr>
                <w:b/>
                <w:bCs/>
                <w:sz w:val="16"/>
                <w:szCs w:val="16"/>
                <w:lang w:val="ru-RU"/>
              </w:rPr>
              <w:t>-56,66</w:t>
            </w:r>
          </w:p>
        </w:tc>
      </w:tr>
      <w:tr w:rsidR="0045473E" w:rsidRPr="006013D0" w:rsidTr="0045473E">
        <w:trPr>
          <w:trHeight w:val="39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 xml:space="preserve">Отклонения на </w:t>
            </w:r>
            <w:proofErr w:type="spellStart"/>
            <w:r w:rsidRPr="006013D0">
              <w:rPr>
                <w:sz w:val="16"/>
                <w:szCs w:val="16"/>
                <w:lang w:val="ru-RU"/>
              </w:rPr>
              <w:t>единицу</w:t>
            </w:r>
            <w:proofErr w:type="gramStart"/>
            <w:r w:rsidRPr="006013D0">
              <w:rPr>
                <w:sz w:val="16"/>
                <w:szCs w:val="16"/>
                <w:lang w:val="ru-RU"/>
              </w:rPr>
              <w:t>,р</w:t>
            </w:r>
            <w:proofErr w:type="gramEnd"/>
            <w:r w:rsidRPr="006013D0">
              <w:rPr>
                <w:sz w:val="16"/>
                <w:szCs w:val="16"/>
                <w:lang w:val="ru-RU"/>
              </w:rPr>
              <w:t>уб</w:t>
            </w:r>
            <w:proofErr w:type="spellEnd"/>
            <w:r w:rsidRPr="006013D0">
              <w:rPr>
                <w:sz w:val="16"/>
                <w:szCs w:val="16"/>
                <w:lang w:val="ru-RU"/>
              </w:rPr>
              <w:t>./т.м</w:t>
            </w:r>
            <w:r w:rsidRPr="006013D0">
              <w:rPr>
                <w:sz w:val="16"/>
                <w:szCs w:val="16"/>
                <w:vertAlign w:val="superscript"/>
                <w:lang w:val="ru-RU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473E" w:rsidRPr="006013D0" w:rsidRDefault="0045473E" w:rsidP="0045473E">
            <w:pPr>
              <w:jc w:val="center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138,13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146,36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146,36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73E" w:rsidRPr="006013D0" w:rsidRDefault="0045473E" w:rsidP="0045473E">
            <w:pPr>
              <w:jc w:val="right"/>
              <w:rPr>
                <w:sz w:val="16"/>
                <w:szCs w:val="16"/>
                <w:lang w:val="ru-RU"/>
              </w:rPr>
            </w:pPr>
            <w:r w:rsidRPr="006013D0">
              <w:rPr>
                <w:sz w:val="16"/>
                <w:szCs w:val="16"/>
                <w:lang w:val="ru-RU"/>
              </w:rPr>
              <w:t>-8,237</w:t>
            </w:r>
          </w:p>
        </w:tc>
      </w:tr>
    </w:tbl>
    <w:p w:rsidR="0045473E" w:rsidRDefault="0045473E" w:rsidP="0045473E">
      <w:pPr>
        <w:tabs>
          <w:tab w:val="left" w:pos="9781"/>
          <w:tab w:val="left" w:pos="9923"/>
        </w:tabs>
        <w:spacing w:line="360" w:lineRule="auto"/>
        <w:ind w:right="565"/>
        <w:rPr>
          <w:sz w:val="28"/>
          <w:szCs w:val="28"/>
          <w:lang w:val="ru-RU"/>
        </w:rPr>
        <w:sectPr w:rsidR="0045473E" w:rsidSect="004547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5A1F" w:rsidRDefault="00D45A1F" w:rsidP="00447CC4">
      <w:pPr>
        <w:rPr>
          <w:sz w:val="24"/>
          <w:szCs w:val="24"/>
          <w:lang w:val="ru-RU"/>
        </w:rPr>
        <w:sectPr w:rsidR="00D45A1F" w:rsidSect="00E66410">
          <w:pgSz w:w="16838" w:h="11906" w:orient="landscape"/>
          <w:pgMar w:top="1134" w:right="1701" w:bottom="1134" w:left="1134" w:header="708" w:footer="708" w:gutter="0"/>
          <w:cols w:space="708"/>
          <w:docGrid w:linePitch="360"/>
        </w:sectPr>
      </w:pPr>
    </w:p>
    <w:p w:rsidR="00D45A1F" w:rsidRPr="00D762E7" w:rsidRDefault="00D45A1F" w:rsidP="00447CC4">
      <w:pPr>
        <w:rPr>
          <w:sz w:val="24"/>
          <w:szCs w:val="24"/>
          <w:lang w:val="ru-RU"/>
        </w:rPr>
      </w:pPr>
    </w:p>
    <w:sectPr w:rsidR="00D45A1F" w:rsidRPr="00D762E7" w:rsidSect="00E66410">
      <w:pgSz w:w="16838" w:h="11906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F6" w:rsidRDefault="001635F6" w:rsidP="00447CC4">
      <w:r>
        <w:separator/>
      </w:r>
    </w:p>
  </w:endnote>
  <w:endnote w:type="continuationSeparator" w:id="0">
    <w:p w:rsidR="001635F6" w:rsidRDefault="001635F6" w:rsidP="0044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F0" w:rsidRDefault="00657AF0">
    <w:pPr>
      <w:pStyle w:val="af0"/>
      <w:jc w:val="right"/>
    </w:pPr>
    <w:fldSimple w:instr=" PAGE   \* MERGEFORMAT ">
      <w:r w:rsidR="009E22D9">
        <w:rPr>
          <w:noProof/>
        </w:rPr>
        <w:t>40</w:t>
      </w:r>
    </w:fldSimple>
  </w:p>
  <w:p w:rsidR="00657AF0" w:rsidRDefault="00657AF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F6" w:rsidRDefault="001635F6" w:rsidP="00447CC4">
      <w:r>
        <w:separator/>
      </w:r>
    </w:p>
  </w:footnote>
  <w:footnote w:type="continuationSeparator" w:id="0">
    <w:p w:rsidR="001635F6" w:rsidRDefault="001635F6" w:rsidP="00447CC4">
      <w:r>
        <w:continuationSeparator/>
      </w:r>
    </w:p>
  </w:footnote>
  <w:footnote w:id="1">
    <w:p w:rsidR="00657AF0" w:rsidRPr="00D923AC" w:rsidRDefault="00657AF0" w:rsidP="00447CC4">
      <w:pPr>
        <w:pStyle w:val="a6"/>
        <w:rPr>
          <w:lang w:val="ru-RU"/>
        </w:rPr>
      </w:pPr>
      <w:r>
        <w:rPr>
          <w:rStyle w:val="a8"/>
        </w:rPr>
        <w:footnoteRef/>
      </w:r>
      <w:r w:rsidRPr="00D923AC">
        <w:rPr>
          <w:lang w:val="ru-RU"/>
        </w:rPr>
        <w:t xml:space="preserve"> </w:t>
      </w:r>
      <w:hyperlink r:id="rId1" w:history="1">
        <w:r w:rsidRPr="00BF10B4">
          <w:rPr>
            <w:rStyle w:val="a9"/>
            <w:rFonts w:ascii="Arial" w:hAnsi="Arial"/>
            <w:sz w:val="16"/>
            <w:szCs w:val="16"/>
          </w:rPr>
          <w:t>http://www.cenef.ru/file/Heat.pdf</w:t>
        </w:r>
      </w:hyperlink>
    </w:p>
  </w:footnote>
  <w:footnote w:id="2">
    <w:p w:rsidR="00657AF0" w:rsidRPr="00496845" w:rsidRDefault="00657AF0" w:rsidP="00447CC4">
      <w:pPr>
        <w:pStyle w:val="a6"/>
        <w:rPr>
          <w:lang w:val="ru-RU"/>
        </w:rPr>
      </w:pPr>
      <w:r>
        <w:rPr>
          <w:rStyle w:val="a8"/>
        </w:rPr>
        <w:footnoteRef/>
      </w:r>
      <w:r w:rsidRPr="00496845">
        <w:rPr>
          <w:lang w:val="ru-RU"/>
        </w:rPr>
        <w:t xml:space="preserve"> Повышение инвестиционной привлекательности и инновационной активности предприятий электроэнергетики / Кононенко В.А. / Журнал «</w:t>
      </w:r>
      <w:proofErr w:type="spellStart"/>
      <w:r w:rsidRPr="00496845">
        <w:rPr>
          <w:lang w:val="ru-RU"/>
        </w:rPr>
        <w:t>Креативная</w:t>
      </w:r>
      <w:proofErr w:type="spellEnd"/>
      <w:r w:rsidRPr="00496845">
        <w:rPr>
          <w:lang w:val="ru-RU"/>
        </w:rPr>
        <w:t xml:space="preserve"> экономика» № 11 (23) за 2008 год, </w:t>
      </w:r>
      <w:proofErr w:type="spellStart"/>
      <w:proofErr w:type="gramStart"/>
      <w:r w:rsidRPr="00496845">
        <w:rPr>
          <w:lang w:val="ru-RU"/>
        </w:rPr>
        <w:t>c</w:t>
      </w:r>
      <w:proofErr w:type="gramEnd"/>
      <w:r w:rsidRPr="00496845">
        <w:rPr>
          <w:lang w:val="ru-RU"/>
        </w:rPr>
        <w:t>тр</w:t>
      </w:r>
      <w:proofErr w:type="spellEnd"/>
      <w:r w:rsidRPr="00496845">
        <w:rPr>
          <w:lang w:val="ru-RU"/>
        </w:rPr>
        <w:t>. 21-26</w:t>
      </w:r>
    </w:p>
  </w:footnote>
  <w:footnote w:id="3">
    <w:p w:rsidR="00657AF0" w:rsidRPr="00496845" w:rsidRDefault="00657AF0" w:rsidP="00447CC4">
      <w:pPr>
        <w:pStyle w:val="a6"/>
        <w:rPr>
          <w:lang w:val="ru-RU"/>
        </w:rPr>
      </w:pPr>
      <w:r>
        <w:rPr>
          <w:rStyle w:val="a8"/>
        </w:rPr>
        <w:footnoteRef/>
      </w:r>
      <w:r w:rsidRPr="00496845">
        <w:rPr>
          <w:lang w:val="ru-RU"/>
        </w:rPr>
        <w:t xml:space="preserve"> Волков И.М., Грачева М.В. Проектный анализ: продвинутый курс: учебное пособи</w:t>
      </w:r>
      <w:r>
        <w:rPr>
          <w:lang w:val="ru-RU"/>
        </w:rPr>
        <w:t xml:space="preserve">е. – М.: ИНФРА-М, 2004. Стр.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E3560"/>
    <w:multiLevelType w:val="hybridMultilevel"/>
    <w:tmpl w:val="A2F4EB92"/>
    <w:lvl w:ilvl="0" w:tplc="92347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E3C4B"/>
    <w:multiLevelType w:val="hybridMultilevel"/>
    <w:tmpl w:val="2046957C"/>
    <w:lvl w:ilvl="0" w:tplc="C4D0FC6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52271A"/>
    <w:multiLevelType w:val="multilevel"/>
    <w:tmpl w:val="72F8F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4B92EFA"/>
    <w:multiLevelType w:val="hybridMultilevel"/>
    <w:tmpl w:val="952055CE"/>
    <w:lvl w:ilvl="0" w:tplc="C4D0F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F15EA"/>
    <w:multiLevelType w:val="hybridMultilevel"/>
    <w:tmpl w:val="E682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F7D86"/>
    <w:multiLevelType w:val="hybridMultilevel"/>
    <w:tmpl w:val="26F8634A"/>
    <w:lvl w:ilvl="0" w:tplc="92347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CE2A56"/>
    <w:multiLevelType w:val="hybridMultilevel"/>
    <w:tmpl w:val="DF02F3B2"/>
    <w:lvl w:ilvl="0" w:tplc="92347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112C5"/>
    <w:multiLevelType w:val="hybridMultilevel"/>
    <w:tmpl w:val="8BB29378"/>
    <w:lvl w:ilvl="0" w:tplc="C4D0FC6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D0476C"/>
    <w:multiLevelType w:val="hybridMultilevel"/>
    <w:tmpl w:val="959AD198"/>
    <w:lvl w:ilvl="0" w:tplc="92347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2347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6BD"/>
    <w:multiLevelType w:val="hybridMultilevel"/>
    <w:tmpl w:val="624088E2"/>
    <w:lvl w:ilvl="0" w:tplc="C4D0FC6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C72EB0"/>
    <w:multiLevelType w:val="hybridMultilevel"/>
    <w:tmpl w:val="C164D2B0"/>
    <w:lvl w:ilvl="0" w:tplc="503C7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4C4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0CB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186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7224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7A7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303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363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2F35C61"/>
    <w:multiLevelType w:val="hybridMultilevel"/>
    <w:tmpl w:val="F426F12C"/>
    <w:lvl w:ilvl="0" w:tplc="C4D0FC62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A84E503A">
      <w:numFmt w:val="bullet"/>
      <w:lvlText w:val="•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3C419C1"/>
    <w:multiLevelType w:val="hybridMultilevel"/>
    <w:tmpl w:val="77EACF06"/>
    <w:lvl w:ilvl="0" w:tplc="FDC89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7E5CFB"/>
    <w:multiLevelType w:val="hybridMultilevel"/>
    <w:tmpl w:val="80AEF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17725F"/>
    <w:multiLevelType w:val="hybridMultilevel"/>
    <w:tmpl w:val="CFB263EC"/>
    <w:lvl w:ilvl="0" w:tplc="92347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A0F3B"/>
    <w:multiLevelType w:val="hybridMultilevel"/>
    <w:tmpl w:val="054237B4"/>
    <w:lvl w:ilvl="0" w:tplc="92347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2C154D"/>
    <w:multiLevelType w:val="hybridMultilevel"/>
    <w:tmpl w:val="BD088626"/>
    <w:lvl w:ilvl="0" w:tplc="C4D0FC6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C482261"/>
    <w:multiLevelType w:val="hybridMultilevel"/>
    <w:tmpl w:val="3A202BC0"/>
    <w:lvl w:ilvl="0" w:tplc="923470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A62F99"/>
    <w:multiLevelType w:val="hybridMultilevel"/>
    <w:tmpl w:val="5E8A6A50"/>
    <w:lvl w:ilvl="0" w:tplc="C4D0FC6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ED4A71"/>
    <w:multiLevelType w:val="hybridMultilevel"/>
    <w:tmpl w:val="319222B6"/>
    <w:lvl w:ilvl="0" w:tplc="02D860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DFF5122"/>
    <w:multiLevelType w:val="hybridMultilevel"/>
    <w:tmpl w:val="725CBC04"/>
    <w:lvl w:ilvl="0" w:tplc="C4D0FC62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234709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2371CDA"/>
    <w:multiLevelType w:val="hybridMultilevel"/>
    <w:tmpl w:val="1274437A"/>
    <w:lvl w:ilvl="0" w:tplc="A1165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1C134E"/>
    <w:multiLevelType w:val="multilevel"/>
    <w:tmpl w:val="9CAC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304C6"/>
    <w:multiLevelType w:val="hybridMultilevel"/>
    <w:tmpl w:val="7C4E2E60"/>
    <w:lvl w:ilvl="0" w:tplc="92347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667A6E"/>
    <w:multiLevelType w:val="hybridMultilevel"/>
    <w:tmpl w:val="E382736E"/>
    <w:lvl w:ilvl="0" w:tplc="3FF8763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34C7DAD"/>
    <w:multiLevelType w:val="hybridMultilevel"/>
    <w:tmpl w:val="BF688582"/>
    <w:lvl w:ilvl="0" w:tplc="C4D0FC6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5312261"/>
    <w:multiLevelType w:val="hybridMultilevel"/>
    <w:tmpl w:val="31D05EC2"/>
    <w:lvl w:ilvl="0" w:tplc="EB3AB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5F6D55"/>
    <w:multiLevelType w:val="hybridMultilevel"/>
    <w:tmpl w:val="532C3C90"/>
    <w:lvl w:ilvl="0" w:tplc="C4D0FC62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F0A0413"/>
    <w:multiLevelType w:val="hybridMultilevel"/>
    <w:tmpl w:val="EC44A284"/>
    <w:lvl w:ilvl="0" w:tplc="9234709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8"/>
  </w:num>
  <w:num w:numId="5">
    <w:abstractNumId w:val="19"/>
  </w:num>
  <w:num w:numId="6">
    <w:abstractNumId w:val="26"/>
  </w:num>
  <w:num w:numId="7">
    <w:abstractNumId w:val="12"/>
  </w:num>
  <w:num w:numId="8">
    <w:abstractNumId w:val="17"/>
  </w:num>
  <w:num w:numId="9">
    <w:abstractNumId w:val="8"/>
  </w:num>
  <w:num w:numId="10">
    <w:abstractNumId w:val="14"/>
  </w:num>
  <w:num w:numId="11">
    <w:abstractNumId w:val="6"/>
  </w:num>
  <w:num w:numId="12">
    <w:abstractNumId w:val="11"/>
  </w:num>
  <w:num w:numId="13">
    <w:abstractNumId w:val="16"/>
  </w:num>
  <w:num w:numId="14">
    <w:abstractNumId w:val="21"/>
  </w:num>
  <w:num w:numId="15">
    <w:abstractNumId w:val="7"/>
  </w:num>
  <w:num w:numId="16">
    <w:abstractNumId w:val="29"/>
  </w:num>
  <w:num w:numId="17">
    <w:abstractNumId w:val="9"/>
  </w:num>
  <w:num w:numId="18">
    <w:abstractNumId w:val="24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15"/>
  </w:num>
  <w:num w:numId="27">
    <w:abstractNumId w:val="25"/>
  </w:num>
  <w:num w:numId="28">
    <w:abstractNumId w:val="20"/>
  </w:num>
  <w:num w:numId="29">
    <w:abstractNumId w:val="2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C4"/>
    <w:rsid w:val="00043171"/>
    <w:rsid w:val="0004335C"/>
    <w:rsid w:val="00044EA0"/>
    <w:rsid w:val="00053771"/>
    <w:rsid w:val="00054A81"/>
    <w:rsid w:val="000606BD"/>
    <w:rsid w:val="000B2B71"/>
    <w:rsid w:val="000B75BE"/>
    <w:rsid w:val="001143D1"/>
    <w:rsid w:val="001635F6"/>
    <w:rsid w:val="00194696"/>
    <w:rsid w:val="001954A8"/>
    <w:rsid w:val="001E616C"/>
    <w:rsid w:val="0021166A"/>
    <w:rsid w:val="0021602F"/>
    <w:rsid w:val="002323BC"/>
    <w:rsid w:val="002336B1"/>
    <w:rsid w:val="002447E0"/>
    <w:rsid w:val="00262450"/>
    <w:rsid w:val="0027280E"/>
    <w:rsid w:val="0031360B"/>
    <w:rsid w:val="003258D0"/>
    <w:rsid w:val="003D2A87"/>
    <w:rsid w:val="003D5464"/>
    <w:rsid w:val="00407483"/>
    <w:rsid w:val="00424946"/>
    <w:rsid w:val="00440EA0"/>
    <w:rsid w:val="00447CC4"/>
    <w:rsid w:val="0045473E"/>
    <w:rsid w:val="004A2A77"/>
    <w:rsid w:val="004E0D5E"/>
    <w:rsid w:val="0050356F"/>
    <w:rsid w:val="005112E2"/>
    <w:rsid w:val="00515BB7"/>
    <w:rsid w:val="005264B2"/>
    <w:rsid w:val="00543013"/>
    <w:rsid w:val="0056122A"/>
    <w:rsid w:val="00575051"/>
    <w:rsid w:val="0057607C"/>
    <w:rsid w:val="00591E4C"/>
    <w:rsid w:val="005B0062"/>
    <w:rsid w:val="005C68C9"/>
    <w:rsid w:val="005D4A0F"/>
    <w:rsid w:val="00613B20"/>
    <w:rsid w:val="006313F9"/>
    <w:rsid w:val="006427E5"/>
    <w:rsid w:val="00647DD2"/>
    <w:rsid w:val="00657AF0"/>
    <w:rsid w:val="0068005F"/>
    <w:rsid w:val="006818AB"/>
    <w:rsid w:val="0068788F"/>
    <w:rsid w:val="006A3724"/>
    <w:rsid w:val="006E0D1D"/>
    <w:rsid w:val="00702545"/>
    <w:rsid w:val="0071086C"/>
    <w:rsid w:val="007212CB"/>
    <w:rsid w:val="00722C3E"/>
    <w:rsid w:val="00724EFB"/>
    <w:rsid w:val="00776E62"/>
    <w:rsid w:val="00785A4A"/>
    <w:rsid w:val="00786338"/>
    <w:rsid w:val="007B76DF"/>
    <w:rsid w:val="007E3C56"/>
    <w:rsid w:val="0080433F"/>
    <w:rsid w:val="0083181A"/>
    <w:rsid w:val="008833E2"/>
    <w:rsid w:val="008A1D6B"/>
    <w:rsid w:val="008A378E"/>
    <w:rsid w:val="009012CA"/>
    <w:rsid w:val="009326F5"/>
    <w:rsid w:val="009342DE"/>
    <w:rsid w:val="009344D7"/>
    <w:rsid w:val="00995E3B"/>
    <w:rsid w:val="009B49FF"/>
    <w:rsid w:val="009C01A5"/>
    <w:rsid w:val="009E22D9"/>
    <w:rsid w:val="009E47F5"/>
    <w:rsid w:val="00A73620"/>
    <w:rsid w:val="00A76D05"/>
    <w:rsid w:val="00A77A39"/>
    <w:rsid w:val="00B03442"/>
    <w:rsid w:val="00B056E6"/>
    <w:rsid w:val="00B17815"/>
    <w:rsid w:val="00B25AE3"/>
    <w:rsid w:val="00B60D3F"/>
    <w:rsid w:val="00B64750"/>
    <w:rsid w:val="00B74159"/>
    <w:rsid w:val="00B879DE"/>
    <w:rsid w:val="00B923B7"/>
    <w:rsid w:val="00BE7D9A"/>
    <w:rsid w:val="00C37861"/>
    <w:rsid w:val="00C74477"/>
    <w:rsid w:val="00C769AB"/>
    <w:rsid w:val="00C97D94"/>
    <w:rsid w:val="00CB445E"/>
    <w:rsid w:val="00CB7915"/>
    <w:rsid w:val="00CC03BD"/>
    <w:rsid w:val="00CC6A2E"/>
    <w:rsid w:val="00CE1F0A"/>
    <w:rsid w:val="00D07EC4"/>
    <w:rsid w:val="00D40C4E"/>
    <w:rsid w:val="00D45A1F"/>
    <w:rsid w:val="00D6470A"/>
    <w:rsid w:val="00D762E7"/>
    <w:rsid w:val="00DB1062"/>
    <w:rsid w:val="00E261EB"/>
    <w:rsid w:val="00E66410"/>
    <w:rsid w:val="00E75676"/>
    <w:rsid w:val="00E8737A"/>
    <w:rsid w:val="00EA4B33"/>
    <w:rsid w:val="00EC4F44"/>
    <w:rsid w:val="00EC65BF"/>
    <w:rsid w:val="00EF03E9"/>
    <w:rsid w:val="00F07FB8"/>
    <w:rsid w:val="00F27836"/>
    <w:rsid w:val="00F46D46"/>
    <w:rsid w:val="00F75510"/>
    <w:rsid w:val="00FA3358"/>
    <w:rsid w:val="00FA56C3"/>
    <w:rsid w:val="00FC15CC"/>
    <w:rsid w:val="00FE0BDA"/>
    <w:rsid w:val="00FE1132"/>
    <w:rsid w:val="00FE583C"/>
    <w:rsid w:val="00FF01E9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4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B76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8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B76DF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4">
    <w:name w:val="heading 4"/>
    <w:basedOn w:val="a"/>
    <w:next w:val="a"/>
    <w:link w:val="40"/>
    <w:qFormat/>
    <w:rsid w:val="0068788F"/>
    <w:pPr>
      <w:keepNext/>
      <w:spacing w:line="360" w:lineRule="auto"/>
      <w:ind w:firstLine="709"/>
      <w:jc w:val="both"/>
      <w:outlineLvl w:val="3"/>
    </w:pPr>
    <w:rPr>
      <w:sz w:val="28"/>
      <w:szCs w:val="24"/>
      <w:lang w:val="ru-RU"/>
    </w:rPr>
  </w:style>
  <w:style w:type="paragraph" w:styleId="5">
    <w:name w:val="heading 5"/>
    <w:basedOn w:val="a"/>
    <w:next w:val="a"/>
    <w:link w:val="50"/>
    <w:qFormat/>
    <w:rsid w:val="007B76DF"/>
    <w:pPr>
      <w:keepNext/>
      <w:outlineLvl w:val="4"/>
    </w:pPr>
    <w:rPr>
      <w:rFonts w:ascii="Tahoma" w:hAnsi="Tahoma" w:cs="Tahoma"/>
      <w:b/>
      <w:bCs/>
      <w:i/>
      <w:iCs/>
      <w:sz w:val="18"/>
    </w:rPr>
  </w:style>
  <w:style w:type="paragraph" w:styleId="6">
    <w:name w:val="heading 6"/>
    <w:basedOn w:val="a"/>
    <w:next w:val="a"/>
    <w:link w:val="60"/>
    <w:qFormat/>
    <w:rsid w:val="007B76DF"/>
    <w:pPr>
      <w:keepNext/>
      <w:tabs>
        <w:tab w:val="left" w:pos="284"/>
      </w:tabs>
      <w:ind w:left="280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6DF"/>
    <w:rPr>
      <w:rFonts w:ascii="Tahoma" w:eastAsia="Times New Roman" w:hAnsi="Tahoma" w:cs="Tahoma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6DF"/>
    <w:rPr>
      <w:rFonts w:ascii="Tahoma" w:eastAsia="Times New Roman" w:hAnsi="Tahoma" w:cs="Tahoma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7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6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B7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7CC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47CC4"/>
  </w:style>
  <w:style w:type="character" w:customStyle="1" w:styleId="a7">
    <w:name w:val="Текст сноски Знак"/>
    <w:basedOn w:val="a0"/>
    <w:link w:val="a6"/>
    <w:uiPriority w:val="99"/>
    <w:semiHidden/>
    <w:rsid w:val="00447C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semiHidden/>
    <w:unhideWhenUsed/>
    <w:rsid w:val="00447CC4"/>
    <w:rPr>
      <w:vertAlign w:val="superscript"/>
    </w:rPr>
  </w:style>
  <w:style w:type="character" w:styleId="a9">
    <w:name w:val="Hyperlink"/>
    <w:basedOn w:val="a0"/>
    <w:uiPriority w:val="99"/>
    <w:unhideWhenUsed/>
    <w:rsid w:val="00447CC4"/>
    <w:rPr>
      <w:color w:val="0000FF"/>
      <w:u w:val="single"/>
    </w:rPr>
  </w:style>
  <w:style w:type="paragraph" w:styleId="aa">
    <w:name w:val="Body Text Indent"/>
    <w:basedOn w:val="a"/>
    <w:link w:val="ab"/>
    <w:rsid w:val="00447C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47C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447C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7C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47C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7CC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788F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87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878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78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line number"/>
    <w:basedOn w:val="a0"/>
    <w:uiPriority w:val="99"/>
    <w:semiHidden/>
    <w:unhideWhenUsed/>
    <w:rsid w:val="00EC65BF"/>
  </w:style>
  <w:style w:type="character" w:customStyle="1" w:styleId="SUBST">
    <w:name w:val="__SUBST"/>
    <w:uiPriority w:val="99"/>
    <w:rsid w:val="001954A8"/>
    <w:rPr>
      <w:b/>
      <w:i/>
      <w:sz w:val="22"/>
    </w:rPr>
  </w:style>
  <w:style w:type="paragraph" w:customStyle="1" w:styleId="af3">
    <w:name w:val="Нормальный"/>
    <w:basedOn w:val="a"/>
    <w:rsid w:val="00722C3E"/>
    <w:pPr>
      <w:ind w:firstLine="397"/>
      <w:jc w:val="both"/>
    </w:pPr>
    <w:rPr>
      <w:lang w:val="ru-RU"/>
    </w:rPr>
  </w:style>
  <w:style w:type="character" w:styleId="af4">
    <w:name w:val="Strong"/>
    <w:basedOn w:val="a0"/>
    <w:qFormat/>
    <w:rsid w:val="00FC15CC"/>
    <w:rPr>
      <w:b/>
      <w:bCs/>
    </w:rPr>
  </w:style>
  <w:style w:type="character" w:customStyle="1" w:styleId="apple-converted-space">
    <w:name w:val="apple-converted-space"/>
    <w:basedOn w:val="a0"/>
    <w:rsid w:val="00053771"/>
  </w:style>
  <w:style w:type="paragraph" w:styleId="af5">
    <w:name w:val="Revision"/>
    <w:hidden/>
    <w:uiPriority w:val="99"/>
    <w:semiHidden/>
    <w:rsid w:val="000606BD"/>
    <w:rPr>
      <w:rFonts w:ascii="Times New Roman" w:eastAsia="Times New Roman" w:hAnsi="Times New Roman"/>
      <w:lang w:val="en-US"/>
    </w:rPr>
  </w:style>
  <w:style w:type="paragraph" w:customStyle="1" w:styleId="11">
    <w:name w:val="Абзац списка1"/>
    <w:basedOn w:val="a"/>
    <w:link w:val="ListParagraphChar"/>
    <w:rsid w:val="001143D1"/>
    <w:pPr>
      <w:autoSpaceDE w:val="0"/>
      <w:autoSpaceDN w:val="0"/>
      <w:ind w:left="720"/>
      <w:contextualSpacing/>
    </w:pPr>
    <w:rPr>
      <w:rFonts w:eastAsia="Calibri"/>
      <w:lang w:val="ru-RU"/>
    </w:rPr>
  </w:style>
  <w:style w:type="character" w:customStyle="1" w:styleId="ListParagraphChar">
    <w:name w:val="List Paragraph Char"/>
    <w:link w:val="11"/>
    <w:locked/>
    <w:rsid w:val="001143D1"/>
    <w:rPr>
      <w:rFonts w:ascii="Times New Roman" w:hAnsi="Times New Roman"/>
    </w:rPr>
  </w:style>
  <w:style w:type="character" w:styleId="af6">
    <w:name w:val="Placeholder Text"/>
    <w:basedOn w:val="a0"/>
    <w:uiPriority w:val="99"/>
    <w:semiHidden/>
    <w:rsid w:val="00F278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yperlink" Target="http://www.cenef.ru/file/Hea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yperlink" Target="http://ara2011.nlmk.com/ru" TargetMode="External"/><Relationship Id="rId10" Type="http://schemas.openxmlformats.org/officeDocument/2006/relationships/image" Target="media/image2.jpe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ef.ru/file/Hea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5C96-A1CA-46F3-AF04-BFAA0C3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12247</Words>
  <Characters>69808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81892</CharactersWithSpaces>
  <SharedDoc>false</SharedDoc>
  <HLinks>
    <vt:vector size="24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http://www.cenef.ru/file/Heat.pdf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http://ara2011.nlmk.com/ru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http://ara2011.nlmk.com/ru</vt:lpwstr>
      </vt:variant>
      <vt:variant>
        <vt:lpwstr/>
      </vt:variant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http://www.cenef.ru/file/Heat.pdf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Денис</cp:lastModifiedBy>
  <cp:revision>21</cp:revision>
  <dcterms:created xsi:type="dcterms:W3CDTF">2014-04-02T16:54:00Z</dcterms:created>
  <dcterms:modified xsi:type="dcterms:W3CDTF">2014-06-08T21:48:00Z</dcterms:modified>
</cp:coreProperties>
</file>